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185BCAD5" w:rsidR="0005278F" w:rsidRPr="00844DC7" w:rsidRDefault="0005278F" w:rsidP="0005278F">
      <w:pPr>
        <w:pStyle w:val="Annexetitre"/>
        <w:spacing w:before="0"/>
      </w:pPr>
      <w:r w:rsidRPr="00844DC7">
        <w:t>ALLEGATO XX – Istruzioni per l</w:t>
      </w:r>
      <w:r w:rsidR="00F16DA0" w:rsidRPr="00844DC7">
        <w:t>'</w:t>
      </w:r>
      <w:r w:rsidRPr="00844DC7">
        <w:t>informativa sull</w:t>
      </w:r>
      <w:r w:rsidR="00F16DA0" w:rsidRPr="00844DC7">
        <w:t>'</w:t>
      </w:r>
      <w:r w:rsidRPr="00844DC7">
        <w:t xml:space="preserve">uso del metodo standardizzato </w:t>
      </w:r>
      <w:r w:rsidR="00F16DA0" w:rsidRPr="00844DC7">
        <w:br/>
      </w:r>
      <w:r w:rsidRPr="00844DC7">
        <w:t xml:space="preserve">per il rischio di credito (esclusi il rischio di controparte e le posizioni </w:t>
      </w:r>
      <w:r w:rsidR="00F16DA0" w:rsidRPr="00844DC7">
        <w:br/>
      </w:r>
      <w:r w:rsidRPr="00844DC7">
        <w:t>verso la cartolarizzazione)</w:t>
      </w:r>
    </w:p>
    <w:p w14:paraId="137E3944" w14:textId="77777777" w:rsidR="0005278F" w:rsidRPr="00844DC7" w:rsidRDefault="0005278F" w:rsidP="0005278F">
      <w:pPr>
        <w:spacing w:after="120"/>
        <w:rPr>
          <w:rFonts w:ascii="Times New Roman" w:hAnsi="Times New Roman" w:cs="Times New Roman"/>
          <w:sz w:val="24"/>
        </w:rPr>
      </w:pPr>
    </w:p>
    <w:p w14:paraId="137E3945" w14:textId="73CB0320" w:rsidR="0005278F" w:rsidRPr="00844DC7" w:rsidRDefault="0005278F" w:rsidP="0005278F">
      <w:pPr>
        <w:pStyle w:val="ListParagraph"/>
        <w:numPr>
          <w:ilvl w:val="0"/>
          <w:numId w:val="1"/>
        </w:numPr>
        <w:spacing w:after="120"/>
        <w:ind w:left="425" w:hanging="357"/>
        <w:jc w:val="both"/>
        <w:rPr>
          <w:rFonts w:ascii="Times New Roman" w:hAnsi="Times New Roman"/>
          <w:sz w:val="24"/>
        </w:rPr>
      </w:pPr>
      <w:r w:rsidRPr="00844DC7">
        <w:rPr>
          <w:rFonts w:ascii="Times New Roman" w:hAnsi="Times New Roman"/>
          <w:sz w:val="24"/>
        </w:rPr>
        <w:t>Gli strumenti soggetti alla parte tre, titolo II, capo 6, del regolamento (UE) n. 575/2013 (CRR)</w:t>
      </w:r>
      <w:r w:rsidRPr="00844DC7">
        <w:rPr>
          <w:rStyle w:val="FootnoteReference"/>
          <w:rFonts w:ascii="Times New Roman" w:hAnsi="Times New Roman"/>
        </w:rPr>
        <w:footnoteReference w:id="2"/>
      </w:r>
      <w:r w:rsidRPr="00844DC7">
        <w:rPr>
          <w:rFonts w:ascii="Times New Roman" w:hAnsi="Times New Roman"/>
          <w:sz w:val="24"/>
        </w:rPr>
        <w:t xml:space="preserve"> (esposizioni al rischio di controparte) e gli strumenti cui si applicano i requisiti di cui alla parte tre, titolo</w:t>
      </w:r>
      <w:r w:rsidR="00F16DA0" w:rsidRPr="00844DC7">
        <w:rPr>
          <w:rFonts w:ascii="Times New Roman" w:hAnsi="Times New Roman"/>
          <w:sz w:val="24"/>
        </w:rPr>
        <w:t> </w:t>
      </w:r>
      <w:r w:rsidRPr="00844DC7">
        <w:rPr>
          <w:rFonts w:ascii="Times New Roman" w:hAnsi="Times New Roman"/>
          <w:sz w:val="24"/>
        </w:rPr>
        <w:t>II, capo</w:t>
      </w:r>
      <w:r w:rsidR="00F16DA0" w:rsidRPr="00844DC7">
        <w:rPr>
          <w:rFonts w:ascii="Times New Roman" w:hAnsi="Times New Roman"/>
          <w:sz w:val="24"/>
        </w:rPr>
        <w:t> </w:t>
      </w:r>
      <w:r w:rsidRPr="00844DC7">
        <w:rPr>
          <w:rFonts w:ascii="Times New Roman" w:hAnsi="Times New Roman"/>
          <w:sz w:val="24"/>
        </w:rPr>
        <w:t>5, di tale regolamento (esposizioni verso la cartolarizzazione) non rientrano nei modelli per i quali sono fornite istruzioni nel presente allegato.</w:t>
      </w:r>
    </w:p>
    <w:p w14:paraId="137E3946" w14:textId="77777777" w:rsidR="0005278F" w:rsidRPr="00844DC7" w:rsidRDefault="0005278F" w:rsidP="0005278F">
      <w:pPr>
        <w:spacing w:after="120"/>
        <w:rPr>
          <w:rFonts w:ascii="Times New Roman" w:hAnsi="Times New Roman" w:cs="Times New Roman"/>
          <w:b/>
          <w:sz w:val="24"/>
        </w:rPr>
      </w:pPr>
      <w:r w:rsidRPr="00844DC7">
        <w:rPr>
          <w:rFonts w:ascii="Times New Roman" w:hAnsi="Times New Roman"/>
          <w:b/>
          <w:sz w:val="24"/>
        </w:rPr>
        <w:t xml:space="preserve">Tabella EU CRD: obblighi di informativa qualitativa sul metodo standardizzato </w:t>
      </w:r>
      <w:r w:rsidRPr="00844DC7">
        <w:rPr>
          <w:rFonts w:ascii="Times New Roman" w:hAnsi="Times New Roman"/>
          <w:sz w:val="24"/>
        </w:rPr>
        <w:t>(formato flessibile)</w:t>
      </w:r>
    </w:p>
    <w:p w14:paraId="137E3947" w14:textId="19B89AED" w:rsidR="0005278F" w:rsidRPr="00844DC7" w:rsidRDefault="0005278F" w:rsidP="0005278F">
      <w:pPr>
        <w:pStyle w:val="ListParagraph"/>
        <w:numPr>
          <w:ilvl w:val="0"/>
          <w:numId w:val="1"/>
        </w:numPr>
        <w:spacing w:after="120"/>
        <w:ind w:left="425" w:hanging="357"/>
        <w:jc w:val="both"/>
        <w:rPr>
          <w:rFonts w:ascii="Times New Roman" w:hAnsi="Times New Roman"/>
          <w:sz w:val="24"/>
        </w:rPr>
      </w:pPr>
      <w:r w:rsidRPr="00844DC7">
        <w:rPr>
          <w:rFonts w:ascii="Times New Roman" w:hAnsi="Times New Roman"/>
          <w:sz w:val="24"/>
        </w:rPr>
        <w:t>Gli enti pubblicano le informazioni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444, lettere da a) a d), del regolamento (UE) n. 575/2013 seguendo le istruzioni fornite di seguito nel presente allegato per compilare la tabella EU CRD di cui all</w:t>
      </w:r>
      <w:r w:rsidR="00F16DA0" w:rsidRPr="00844DC7">
        <w:rPr>
          <w:rFonts w:ascii="Times New Roman" w:hAnsi="Times New Roman"/>
          <w:sz w:val="24"/>
        </w:rPr>
        <w:t>'</w:t>
      </w:r>
      <w:r w:rsidRPr="00844DC7">
        <w:rPr>
          <w:rFonts w:ascii="Times New Roman" w:hAnsi="Times New Roman"/>
          <w:sz w:val="24"/>
        </w:rPr>
        <w:t>allegato XIX delle soluzioni informatiche dell</w:t>
      </w:r>
      <w:r w:rsidR="00F16DA0" w:rsidRPr="00844DC7">
        <w:rPr>
          <w:rFonts w:ascii="Times New Roman" w:hAnsi="Times New Roman"/>
          <w:sz w:val="24"/>
        </w:rPr>
        <w:t>'</w:t>
      </w:r>
      <w:r w:rsidRPr="00844DC7">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844DC7"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844DC7" w:rsidRDefault="0005278F" w:rsidP="00F16DA0">
            <w:pPr>
              <w:autoSpaceDE w:val="0"/>
              <w:autoSpaceDN w:val="0"/>
              <w:adjustRightInd w:val="0"/>
              <w:spacing w:after="120"/>
              <w:ind w:right="-136"/>
              <w:rPr>
                <w:rFonts w:ascii="Times New Roman" w:hAnsi="Times New Roman" w:cs="Times New Roman"/>
                <w:b/>
                <w:sz w:val="24"/>
              </w:rPr>
            </w:pPr>
            <w:r w:rsidRPr="00844DC7">
              <w:rPr>
                <w:rFonts w:ascii="Times New Roman" w:hAnsi="Times New Roman"/>
                <w:b/>
                <w:sz w:val="24"/>
              </w:rPr>
              <w:t>Riferimento della riga</w:t>
            </w:r>
          </w:p>
          <w:p w14:paraId="137E3949" w14:textId="77777777" w:rsidR="0005278F" w:rsidRPr="00844DC7"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Riferimenti giuridici e istruzioni</w:t>
            </w:r>
          </w:p>
        </w:tc>
      </w:tr>
      <w:tr w:rsidR="0005278F" w:rsidRPr="00844DC7"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844DC7"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Spiegazione</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844DC7"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844DC7" w:rsidRDefault="0005278F" w:rsidP="004F3087">
            <w:pPr>
              <w:spacing w:after="120"/>
              <w:jc w:val="center"/>
              <w:rPr>
                <w:rFonts w:ascii="Times New Roman" w:hAnsi="Times New Roman" w:cs="Times New Roman"/>
                <w:sz w:val="24"/>
                <w:lang w:val="it-IT"/>
              </w:rPr>
            </w:pPr>
            <w:r w:rsidRPr="00844DC7">
              <w:rPr>
                <w:rFonts w:ascii="Times New Roman" w:hAnsi="Times New Roman"/>
                <w:lang w:val="it-IT"/>
              </w:rPr>
              <w:t>a)</w:t>
            </w:r>
          </w:p>
        </w:tc>
        <w:tc>
          <w:tcPr>
            <w:tcW w:w="3118" w:type="dxa"/>
            <w:tcBorders>
              <w:top w:val="single" w:sz="4" w:space="0" w:color="auto"/>
              <w:left w:val="single" w:sz="4" w:space="0" w:color="auto"/>
              <w:right w:val="single" w:sz="4" w:space="0" w:color="auto"/>
            </w:tcBorders>
          </w:tcPr>
          <w:p w14:paraId="137E3950" w14:textId="77777777" w:rsidR="0005278F" w:rsidRPr="00844DC7"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Articolo 444, lettera a), del CRR</w:t>
            </w:r>
          </w:p>
        </w:tc>
        <w:tc>
          <w:tcPr>
            <w:tcW w:w="4546" w:type="dxa"/>
            <w:tcBorders>
              <w:top w:val="single" w:sz="4" w:space="0" w:color="auto"/>
              <w:left w:val="single" w:sz="4" w:space="0" w:color="auto"/>
              <w:right w:val="single" w:sz="4" w:space="0" w:color="auto"/>
            </w:tcBorders>
          </w:tcPr>
          <w:p w14:paraId="137E3951" w14:textId="700D9030" w:rsidR="0005278F" w:rsidRPr="00844DC7"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Gli enti indicano le denominazioni delle agenzie esterne di valutazione del merito di credito (ECAI) e delle agenzie per il credito all</w:t>
            </w:r>
            <w:r w:rsidR="00F16DA0" w:rsidRPr="00844DC7">
              <w:rPr>
                <w:rFonts w:ascii="Times New Roman" w:hAnsi="Times New Roman"/>
                <w:sz w:val="24"/>
                <w:lang w:val="it-IT"/>
              </w:rPr>
              <w:t>'</w:t>
            </w:r>
            <w:r w:rsidRPr="00844DC7">
              <w:rPr>
                <w:rFonts w:ascii="Times New Roman" w:hAnsi="Times New Roman"/>
                <w:sz w:val="24"/>
                <w:lang w:val="it-IT"/>
              </w:rPr>
              <w:t>esportazione (ECA) prescelte e le ragioni di eventuali modifiche in ordine a tali scelte nell</w:t>
            </w:r>
            <w:r w:rsidR="00F16DA0" w:rsidRPr="00844DC7">
              <w:rPr>
                <w:rFonts w:ascii="Times New Roman" w:hAnsi="Times New Roman"/>
                <w:sz w:val="24"/>
                <w:lang w:val="it-IT"/>
              </w:rPr>
              <w:t>'</w:t>
            </w:r>
            <w:r w:rsidRPr="00844DC7">
              <w:rPr>
                <w:rFonts w:ascii="Times New Roman" w:hAnsi="Times New Roman"/>
                <w:sz w:val="24"/>
                <w:lang w:val="it-IT"/>
              </w:rPr>
              <w:t xml:space="preserve">arco del periodo di informativa. </w:t>
            </w:r>
          </w:p>
        </w:tc>
      </w:tr>
      <w:tr w:rsidR="0005278F" w:rsidRPr="00844DC7" w14:paraId="137E3956" w14:textId="77777777" w:rsidTr="00FB64CF">
        <w:trPr>
          <w:trHeight w:val="1492"/>
        </w:trPr>
        <w:tc>
          <w:tcPr>
            <w:tcW w:w="1408" w:type="dxa"/>
            <w:vAlign w:val="top"/>
          </w:tcPr>
          <w:p w14:paraId="137E3953" w14:textId="77777777" w:rsidR="0005278F" w:rsidRPr="00844DC7" w:rsidRDefault="0005278F" w:rsidP="004F3087">
            <w:pPr>
              <w:spacing w:after="120"/>
              <w:jc w:val="center"/>
              <w:rPr>
                <w:rFonts w:ascii="Times New Roman" w:hAnsi="Times New Roman" w:cs="Times New Roman"/>
                <w:sz w:val="24"/>
                <w:lang w:val="it-IT"/>
              </w:rPr>
            </w:pPr>
            <w:r w:rsidRPr="00844DC7">
              <w:rPr>
                <w:rFonts w:ascii="Times New Roman" w:hAnsi="Times New Roman"/>
                <w:lang w:val="it-IT"/>
              </w:rPr>
              <w:t>b)</w:t>
            </w:r>
          </w:p>
        </w:tc>
        <w:tc>
          <w:tcPr>
            <w:tcW w:w="3118" w:type="dxa"/>
          </w:tcPr>
          <w:p w14:paraId="137E3954" w14:textId="77777777" w:rsidR="0005278F" w:rsidRPr="00844DC7"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Articolo 444, lettera b), del CRR</w:t>
            </w:r>
          </w:p>
        </w:tc>
        <w:tc>
          <w:tcPr>
            <w:tcW w:w="4546" w:type="dxa"/>
          </w:tcPr>
          <w:p w14:paraId="137E3955" w14:textId="46D51ECA" w:rsidR="0005278F" w:rsidRPr="00844DC7" w:rsidRDefault="0005278F">
            <w:pPr>
              <w:spacing w:after="120"/>
              <w:jc w:val="both"/>
              <w:rPr>
                <w:rFonts w:ascii="Times New Roman" w:hAnsi="Times New Roman" w:cs="Times New Roman"/>
                <w:sz w:val="24"/>
                <w:lang w:val="it-IT"/>
              </w:rPr>
            </w:pPr>
            <w:r w:rsidRPr="00844DC7">
              <w:rPr>
                <w:rFonts w:ascii="Times New Roman" w:hAnsi="Times New Roman"/>
                <w:sz w:val="24"/>
                <w:lang w:val="it-IT"/>
              </w:rPr>
              <w:t>Gli enti indicano le classi di esposizioni, specificate nell</w:t>
            </w:r>
            <w:r w:rsidR="00F16DA0" w:rsidRPr="00844DC7">
              <w:rPr>
                <w:rFonts w:ascii="Times New Roman" w:hAnsi="Times New Roman"/>
                <w:sz w:val="24"/>
                <w:lang w:val="it-IT"/>
              </w:rPr>
              <w:t>'</w:t>
            </w:r>
            <w:r w:rsidRPr="00844DC7">
              <w:rPr>
                <w:rFonts w:ascii="Times New Roman" w:hAnsi="Times New Roman"/>
                <w:sz w:val="24"/>
                <w:lang w:val="it-IT"/>
              </w:rPr>
              <w:t>articolo 112 del regolamento (UE) n. 575/2013, per le quali gli enti calcolano gli importi delle esposizioni ponderati per il rischio conformemente alla parte tre, titolo II, capo 2, di tale regolamento, utilizzando la valutazione del merito di credito dell</w:t>
            </w:r>
            <w:r w:rsidR="00F16DA0" w:rsidRPr="00844DC7">
              <w:rPr>
                <w:rFonts w:ascii="Times New Roman" w:hAnsi="Times New Roman"/>
                <w:sz w:val="24"/>
                <w:lang w:val="it-IT"/>
              </w:rPr>
              <w:t>'</w:t>
            </w:r>
            <w:r w:rsidRPr="00844DC7">
              <w:rPr>
                <w:rFonts w:ascii="Times New Roman" w:hAnsi="Times New Roman"/>
                <w:sz w:val="24"/>
                <w:lang w:val="it-IT"/>
              </w:rPr>
              <w:t>ECAI o dell</w:t>
            </w:r>
            <w:r w:rsidR="00F16DA0" w:rsidRPr="00844DC7">
              <w:rPr>
                <w:rFonts w:ascii="Times New Roman" w:hAnsi="Times New Roman"/>
                <w:sz w:val="24"/>
                <w:lang w:val="it-IT"/>
              </w:rPr>
              <w:t>'</w:t>
            </w:r>
            <w:r w:rsidRPr="00844DC7">
              <w:rPr>
                <w:rFonts w:ascii="Times New Roman" w:hAnsi="Times New Roman"/>
                <w:sz w:val="24"/>
                <w:lang w:val="it-IT"/>
              </w:rPr>
              <w:t xml:space="preserve">ECA prescelta. </w:t>
            </w:r>
          </w:p>
        </w:tc>
      </w:tr>
      <w:tr w:rsidR="0005278F" w:rsidRPr="00844DC7" w:rsidDel="00915DC9" w14:paraId="137E395A" w14:textId="77777777" w:rsidTr="00FB64CF">
        <w:trPr>
          <w:trHeight w:val="973"/>
        </w:trPr>
        <w:tc>
          <w:tcPr>
            <w:tcW w:w="1408" w:type="dxa"/>
            <w:vAlign w:val="top"/>
          </w:tcPr>
          <w:p w14:paraId="137E3957" w14:textId="6B9106A6" w:rsidR="0005278F" w:rsidRPr="00844DC7" w:rsidRDefault="0005278F" w:rsidP="004F3087">
            <w:pPr>
              <w:spacing w:after="120"/>
              <w:jc w:val="center"/>
              <w:rPr>
                <w:rFonts w:ascii="Times New Roman" w:hAnsi="Times New Roman" w:cs="Times New Roman"/>
                <w:sz w:val="24"/>
                <w:lang w:val="it-IT"/>
              </w:rPr>
            </w:pPr>
            <w:r w:rsidRPr="00844DC7">
              <w:rPr>
                <w:rFonts w:ascii="Times New Roman" w:hAnsi="Times New Roman"/>
                <w:lang w:val="it-IT"/>
              </w:rPr>
              <w:t>c)</w:t>
            </w:r>
          </w:p>
        </w:tc>
        <w:tc>
          <w:tcPr>
            <w:tcW w:w="3118" w:type="dxa"/>
          </w:tcPr>
          <w:p w14:paraId="137E3958" w14:textId="77777777" w:rsidR="0005278F" w:rsidRPr="00844DC7"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Articolo 444, lettera c), del CRR</w:t>
            </w:r>
          </w:p>
        </w:tc>
        <w:tc>
          <w:tcPr>
            <w:tcW w:w="4546" w:type="dxa"/>
          </w:tcPr>
          <w:p w14:paraId="137E3959" w14:textId="6A4072FF" w:rsidR="0005278F" w:rsidRPr="00844DC7" w:rsidDel="00915DC9"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Quando si ricorre a una valutazione del merito di credito relativa a un emittente o a un</w:t>
            </w:r>
            <w:r w:rsidR="00F16DA0" w:rsidRPr="00844DC7">
              <w:rPr>
                <w:rFonts w:ascii="Times New Roman" w:hAnsi="Times New Roman"/>
                <w:sz w:val="24"/>
                <w:lang w:val="it-IT"/>
              </w:rPr>
              <w:t>'</w:t>
            </w:r>
            <w:r w:rsidRPr="00844DC7">
              <w:rPr>
                <w:rFonts w:ascii="Times New Roman" w:hAnsi="Times New Roman"/>
                <w:sz w:val="24"/>
                <w:lang w:val="it-IT"/>
              </w:rPr>
              <w:t>emissione per determinare la ponderazione del rischio da assegnare a esposizioni non incluse nel portafoglio di negoziazione conformemente all</w:t>
            </w:r>
            <w:r w:rsidR="00F16DA0" w:rsidRPr="00844DC7">
              <w:rPr>
                <w:rFonts w:ascii="Times New Roman" w:hAnsi="Times New Roman"/>
                <w:sz w:val="24"/>
                <w:lang w:val="it-IT"/>
              </w:rPr>
              <w:t>'</w:t>
            </w:r>
            <w:r w:rsidRPr="00844DC7">
              <w:rPr>
                <w:rFonts w:ascii="Times New Roman" w:hAnsi="Times New Roman"/>
                <w:sz w:val="24"/>
                <w:lang w:val="it-IT"/>
              </w:rPr>
              <w:t>articolo 139 della parte tre, titolo</w:t>
            </w:r>
            <w:r w:rsidR="000F63A1" w:rsidRPr="00844DC7">
              <w:rPr>
                <w:rFonts w:ascii="Times New Roman" w:hAnsi="Times New Roman"/>
                <w:sz w:val="24"/>
                <w:lang w:val="it-IT"/>
              </w:rPr>
              <w:t> </w:t>
            </w:r>
            <w:r w:rsidRPr="00844DC7">
              <w:rPr>
                <w:rFonts w:ascii="Times New Roman" w:hAnsi="Times New Roman"/>
                <w:sz w:val="24"/>
                <w:lang w:val="it-IT"/>
              </w:rPr>
              <w:t>II, capo</w:t>
            </w:r>
            <w:r w:rsidR="000F63A1" w:rsidRPr="00844DC7">
              <w:rPr>
                <w:rFonts w:ascii="Times New Roman" w:hAnsi="Times New Roman"/>
                <w:sz w:val="24"/>
                <w:lang w:val="it-IT"/>
              </w:rPr>
              <w:t> </w:t>
            </w:r>
            <w:r w:rsidRPr="00844DC7">
              <w:rPr>
                <w:rFonts w:ascii="Times New Roman" w:hAnsi="Times New Roman"/>
                <w:sz w:val="24"/>
                <w:lang w:val="it-IT"/>
              </w:rPr>
              <w:t>2, del regolamento (UE) n. 575/2013, gli enti descrivono il processo impiegato.</w:t>
            </w:r>
          </w:p>
        </w:tc>
      </w:tr>
      <w:tr w:rsidR="0005278F" w:rsidRPr="00844DC7" w14:paraId="137E395E" w14:textId="77777777" w:rsidTr="00FB64CF">
        <w:trPr>
          <w:trHeight w:val="1265"/>
        </w:trPr>
        <w:tc>
          <w:tcPr>
            <w:tcW w:w="1408" w:type="dxa"/>
            <w:vAlign w:val="top"/>
          </w:tcPr>
          <w:p w14:paraId="137E395B" w14:textId="77777777" w:rsidR="0005278F" w:rsidRPr="00844DC7" w:rsidRDefault="0005278F" w:rsidP="004F3087">
            <w:pPr>
              <w:spacing w:after="120"/>
              <w:jc w:val="center"/>
              <w:rPr>
                <w:rFonts w:ascii="Times New Roman" w:hAnsi="Times New Roman" w:cs="Times New Roman"/>
                <w:sz w:val="24"/>
                <w:lang w:val="it-IT"/>
              </w:rPr>
            </w:pPr>
            <w:r w:rsidRPr="00844DC7">
              <w:rPr>
                <w:rFonts w:ascii="Times New Roman" w:hAnsi="Times New Roman"/>
                <w:lang w:val="it-IT"/>
              </w:rPr>
              <w:lastRenderedPageBreak/>
              <w:t>d)</w:t>
            </w:r>
          </w:p>
        </w:tc>
        <w:tc>
          <w:tcPr>
            <w:tcW w:w="3118" w:type="dxa"/>
          </w:tcPr>
          <w:p w14:paraId="137E395C" w14:textId="77777777" w:rsidR="0005278F" w:rsidRPr="00844DC7" w:rsidRDefault="0005278F" w:rsidP="004F3087">
            <w:pPr>
              <w:spacing w:after="120"/>
              <w:jc w:val="both"/>
              <w:rPr>
                <w:rFonts w:ascii="Times New Roman" w:hAnsi="Times New Roman" w:cs="Times New Roman"/>
                <w:sz w:val="24"/>
                <w:lang w:val="it-IT"/>
              </w:rPr>
            </w:pPr>
            <w:r w:rsidRPr="00844DC7">
              <w:rPr>
                <w:rFonts w:ascii="Times New Roman" w:hAnsi="Times New Roman"/>
                <w:sz w:val="24"/>
                <w:lang w:val="it-IT"/>
              </w:rPr>
              <w:t>Articolo 444, lettera d), del CRR</w:t>
            </w:r>
          </w:p>
        </w:tc>
        <w:tc>
          <w:tcPr>
            <w:tcW w:w="4546" w:type="dxa"/>
          </w:tcPr>
          <w:p w14:paraId="137E395D" w14:textId="363C454B" w:rsidR="0005278F" w:rsidRPr="00844DC7" w:rsidRDefault="0005278F">
            <w:pPr>
              <w:spacing w:after="120"/>
              <w:jc w:val="both"/>
              <w:rPr>
                <w:rFonts w:ascii="Times New Roman" w:hAnsi="Times New Roman" w:cs="Times New Roman"/>
                <w:sz w:val="24"/>
                <w:lang w:val="it-IT"/>
              </w:rPr>
            </w:pPr>
            <w:r w:rsidRPr="00844DC7">
              <w:rPr>
                <w:rFonts w:ascii="Times New Roman" w:hAnsi="Times New Roman"/>
                <w:sz w:val="24"/>
                <w:lang w:val="it-IT"/>
              </w:rPr>
              <w:t>Gli enti indicano, per ciascuna delle classi di esposizioni specificate nell</w:t>
            </w:r>
            <w:r w:rsidR="00F16DA0" w:rsidRPr="00844DC7">
              <w:rPr>
                <w:rFonts w:ascii="Times New Roman" w:hAnsi="Times New Roman"/>
                <w:sz w:val="24"/>
                <w:lang w:val="it-IT"/>
              </w:rPr>
              <w:t>'</w:t>
            </w:r>
            <w:r w:rsidRPr="00844DC7">
              <w:rPr>
                <w:rFonts w:ascii="Times New Roman" w:hAnsi="Times New Roman"/>
                <w:sz w:val="24"/>
                <w:lang w:val="it-IT"/>
              </w:rPr>
              <w:t xml:space="preserve">articolo 112 del </w:t>
            </w:r>
            <w:r w:rsidRPr="00844DC7">
              <w:rPr>
                <w:rFonts w:ascii="Times New Roman" w:hAnsi="Times New Roman"/>
                <w:color w:val="000000" w:themeColor="text1"/>
                <w:sz w:val="24"/>
                <w:lang w:val="it-IT"/>
              </w:rPr>
              <w:t>regolamento (UE) n. 575/2013</w:t>
            </w:r>
            <w:r w:rsidRPr="00844DC7">
              <w:rPr>
                <w:rFonts w:ascii="Times New Roman" w:hAnsi="Times New Roman"/>
                <w:sz w:val="24"/>
                <w:lang w:val="it-IT"/>
              </w:rPr>
              <w:t>, la scala alfanumerica di ciascuna ECAI/ECA prescelta (di cui alla riga a) di questo modello) rispetto ai fattori di ponderazione del rischio corrispondenti alle classi di merito di credito di cui alla parte tre, titolo II, capo</w:t>
            </w:r>
            <w:r w:rsidR="00F16DA0" w:rsidRPr="00844DC7">
              <w:rPr>
                <w:rFonts w:ascii="Times New Roman" w:hAnsi="Times New Roman"/>
                <w:sz w:val="24"/>
                <w:lang w:val="it-IT"/>
              </w:rPr>
              <w:t> </w:t>
            </w:r>
            <w:r w:rsidRPr="00844DC7">
              <w:rPr>
                <w:rFonts w:ascii="Times New Roman" w:hAnsi="Times New Roman"/>
                <w:sz w:val="24"/>
                <w:lang w:val="it-IT"/>
              </w:rPr>
              <w:t>2, di tale regolamento, salvo che l</w:t>
            </w:r>
            <w:r w:rsidR="00F16DA0" w:rsidRPr="00844DC7">
              <w:rPr>
                <w:rFonts w:ascii="Times New Roman" w:hAnsi="Times New Roman"/>
                <w:sz w:val="24"/>
                <w:lang w:val="it-IT"/>
              </w:rPr>
              <w:t>'</w:t>
            </w:r>
            <w:r w:rsidRPr="00844DC7">
              <w:rPr>
                <w:rFonts w:ascii="Times New Roman" w:hAnsi="Times New Roman"/>
                <w:sz w:val="24"/>
                <w:lang w:val="it-IT"/>
              </w:rPr>
              <w:t>ente rispetti l</w:t>
            </w:r>
            <w:r w:rsidR="00F16DA0" w:rsidRPr="00844DC7">
              <w:rPr>
                <w:rFonts w:ascii="Times New Roman" w:hAnsi="Times New Roman"/>
                <w:sz w:val="24"/>
                <w:lang w:val="it-IT"/>
              </w:rPr>
              <w:t>'</w:t>
            </w:r>
            <w:r w:rsidRPr="00844DC7">
              <w:rPr>
                <w:rFonts w:ascii="Times New Roman" w:hAnsi="Times New Roman"/>
                <w:sz w:val="24"/>
                <w:lang w:val="it-IT"/>
              </w:rPr>
              <w:t>associazione normale pubblicata dall</w:t>
            </w:r>
            <w:r w:rsidR="00F16DA0" w:rsidRPr="00844DC7">
              <w:rPr>
                <w:rFonts w:ascii="Times New Roman" w:hAnsi="Times New Roman"/>
                <w:sz w:val="24"/>
                <w:lang w:val="it-IT"/>
              </w:rPr>
              <w:t>'</w:t>
            </w:r>
            <w:r w:rsidRPr="00844DC7">
              <w:rPr>
                <w:rFonts w:ascii="Times New Roman" w:hAnsi="Times New Roman"/>
                <w:sz w:val="24"/>
                <w:lang w:val="it-IT"/>
              </w:rPr>
              <w:t xml:space="preserve">ABE. </w:t>
            </w:r>
          </w:p>
        </w:tc>
      </w:tr>
    </w:tbl>
    <w:p w14:paraId="137E395F" w14:textId="77777777" w:rsidR="0005278F" w:rsidRPr="00844DC7" w:rsidRDefault="0005278F" w:rsidP="0005278F">
      <w:pPr>
        <w:spacing w:after="120"/>
        <w:rPr>
          <w:rFonts w:ascii="Times New Roman" w:hAnsi="Times New Roman" w:cs="Times New Roman"/>
          <w:sz w:val="24"/>
        </w:rPr>
      </w:pPr>
    </w:p>
    <w:p w14:paraId="137E3960" w14:textId="77777777" w:rsidR="0005278F" w:rsidRPr="00844DC7" w:rsidRDefault="0005278F" w:rsidP="0005278F">
      <w:pPr>
        <w:spacing w:after="120"/>
        <w:rPr>
          <w:rFonts w:ascii="Times New Roman" w:hAnsi="Times New Roman" w:cs="Times New Roman"/>
          <w:sz w:val="24"/>
        </w:rPr>
      </w:pPr>
    </w:p>
    <w:p w14:paraId="137E3961" w14:textId="77777777" w:rsidR="0005278F" w:rsidRPr="00844DC7" w:rsidRDefault="0005278F" w:rsidP="0005278F">
      <w:pPr>
        <w:spacing w:after="120"/>
        <w:rPr>
          <w:rFonts w:ascii="Times New Roman" w:hAnsi="Times New Roman" w:cs="Times New Roman"/>
          <w:sz w:val="24"/>
        </w:rPr>
      </w:pPr>
      <w:r w:rsidRPr="00844DC7">
        <w:rPr>
          <w:rFonts w:ascii="Times New Roman" w:hAnsi="Times New Roman"/>
          <w:b/>
          <w:sz w:val="24"/>
        </w:rPr>
        <w:t>Modello EU CR4: esposizione al rischio di credito ed effetti della CRM -</w:t>
      </w:r>
      <w:r w:rsidRPr="00844DC7">
        <w:rPr>
          <w:rFonts w:ascii="Times New Roman" w:hAnsi="Times New Roman"/>
          <w:sz w:val="24"/>
        </w:rPr>
        <w:t xml:space="preserve"> Formato fisso</w:t>
      </w:r>
    </w:p>
    <w:p w14:paraId="137E3962" w14:textId="13CB5950" w:rsidR="0005278F" w:rsidRPr="00844DC7" w:rsidRDefault="0005278F" w:rsidP="5A0D947F">
      <w:pPr>
        <w:pStyle w:val="ListParagraph"/>
        <w:numPr>
          <w:ilvl w:val="0"/>
          <w:numId w:val="1"/>
        </w:numPr>
        <w:spacing w:after="120"/>
        <w:ind w:left="425" w:hanging="357"/>
        <w:jc w:val="both"/>
        <w:rPr>
          <w:rFonts w:ascii="Times New Roman" w:hAnsi="Times New Roman"/>
          <w:sz w:val="24"/>
          <w:szCs w:val="24"/>
        </w:rPr>
      </w:pPr>
      <w:r w:rsidRPr="00844DC7">
        <w:rPr>
          <w:rFonts w:ascii="Times New Roman" w:hAnsi="Times New Roman"/>
          <w:sz w:val="24"/>
        </w:rPr>
        <w:t>Gli enti che calcolano gli importi delle esposizioni ponderati per il rischio di credito conformemente alla parte tre, titolo</w:t>
      </w:r>
      <w:r w:rsidR="000F63A1" w:rsidRPr="00844DC7">
        <w:rPr>
          <w:rFonts w:ascii="Times New Roman" w:hAnsi="Times New Roman"/>
          <w:sz w:val="24"/>
        </w:rPr>
        <w:t> </w:t>
      </w:r>
      <w:r w:rsidRPr="00844DC7">
        <w:rPr>
          <w:rFonts w:ascii="Times New Roman" w:hAnsi="Times New Roman"/>
          <w:sz w:val="24"/>
        </w:rPr>
        <w:t>II, capo</w:t>
      </w:r>
      <w:r w:rsidR="000F63A1" w:rsidRPr="00844DC7">
        <w:rPr>
          <w:rFonts w:ascii="Times New Roman" w:hAnsi="Times New Roman"/>
          <w:sz w:val="24"/>
        </w:rPr>
        <w:t> </w:t>
      </w:r>
      <w:r w:rsidRPr="00844DC7">
        <w:rPr>
          <w:rFonts w:ascii="Times New Roman" w:hAnsi="Times New Roman"/>
          <w:sz w:val="24"/>
        </w:rPr>
        <w:t xml:space="preserve">2,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pubblicano le informazioni di cui all</w:t>
      </w:r>
      <w:r w:rsidR="00F16DA0" w:rsidRPr="00844DC7">
        <w:rPr>
          <w:rFonts w:ascii="Times New Roman" w:hAnsi="Times New Roman"/>
          <w:sz w:val="24"/>
        </w:rPr>
        <w:t>'</w:t>
      </w:r>
      <w:r w:rsidRPr="00844DC7">
        <w:rPr>
          <w:rFonts w:ascii="Times New Roman" w:hAnsi="Times New Roman"/>
          <w:sz w:val="24"/>
        </w:rPr>
        <w:t xml:space="preserve">articolo 453, lettere g), h) e i), di </w:t>
      </w:r>
      <w:r w:rsidRPr="00844DC7">
        <w:rPr>
          <w:rFonts w:ascii="Times New Roman" w:hAnsi="Times New Roman"/>
          <w:color w:val="000000" w:themeColor="text1"/>
          <w:sz w:val="24"/>
        </w:rPr>
        <w:t>tale regolamento</w:t>
      </w:r>
      <w:r w:rsidRPr="00844DC7">
        <w:rPr>
          <w:rFonts w:ascii="Times New Roman" w:hAnsi="Times New Roman"/>
          <w:sz w:val="24"/>
        </w:rPr>
        <w:t xml:space="preserve"> e all</w:t>
      </w:r>
      <w:r w:rsidR="00F16DA0" w:rsidRPr="00844DC7">
        <w:rPr>
          <w:rFonts w:ascii="Times New Roman" w:hAnsi="Times New Roman"/>
          <w:sz w:val="24"/>
        </w:rPr>
        <w:t>'</w:t>
      </w:r>
      <w:r w:rsidRPr="00844DC7">
        <w:rPr>
          <w:rFonts w:ascii="Times New Roman" w:hAnsi="Times New Roman"/>
          <w:sz w:val="24"/>
        </w:rPr>
        <w:t xml:space="preserve">articolo 444, lettera e), del </w:t>
      </w:r>
      <w:r w:rsidRPr="00844DC7">
        <w:rPr>
          <w:rFonts w:ascii="Times New Roman" w:hAnsi="Times New Roman"/>
          <w:color w:val="000000" w:themeColor="text1"/>
          <w:sz w:val="24"/>
        </w:rPr>
        <w:t>medesimo regolamento</w:t>
      </w:r>
      <w:r w:rsidRPr="00844DC7">
        <w:rPr>
          <w:rFonts w:ascii="Times New Roman" w:hAnsi="Times New Roman"/>
          <w:sz w:val="24"/>
        </w:rPr>
        <w:t xml:space="preserve"> seguendo le istruzioni fornite di seguito nel presente allegato per compilare il modello EU CR4 di cui all</w:t>
      </w:r>
      <w:r w:rsidR="00F16DA0" w:rsidRPr="00844DC7">
        <w:rPr>
          <w:rFonts w:ascii="Times New Roman" w:hAnsi="Times New Roman"/>
          <w:sz w:val="24"/>
        </w:rPr>
        <w:t>'</w:t>
      </w:r>
      <w:r w:rsidRPr="00844DC7">
        <w:rPr>
          <w:rFonts w:ascii="Times New Roman" w:hAnsi="Times New Roman"/>
          <w:sz w:val="24"/>
        </w:rPr>
        <w:t>allegato XIX delle soluzioni informatiche dell</w:t>
      </w:r>
      <w:r w:rsidR="00F16DA0" w:rsidRPr="00844DC7">
        <w:rPr>
          <w:rFonts w:ascii="Times New Roman" w:hAnsi="Times New Roman"/>
          <w:sz w:val="24"/>
        </w:rPr>
        <w:t>'</w:t>
      </w:r>
      <w:r w:rsidRPr="00844DC7">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844DC7"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844DC7" w:rsidRDefault="0005278F" w:rsidP="003467EB">
            <w:pPr>
              <w:autoSpaceDE w:val="0"/>
              <w:autoSpaceDN w:val="0"/>
              <w:adjustRightInd w:val="0"/>
              <w:spacing w:after="120"/>
              <w:ind w:right="-136"/>
              <w:rPr>
                <w:rFonts w:ascii="Times New Roman" w:hAnsi="Times New Roman" w:cs="Times New Roman"/>
                <w:b/>
                <w:sz w:val="24"/>
              </w:rPr>
            </w:pPr>
            <w:r w:rsidRPr="00844DC7">
              <w:rPr>
                <w:rFonts w:ascii="Times New Roman" w:hAnsi="Times New Roman"/>
                <w:b/>
                <w:sz w:val="24"/>
              </w:rPr>
              <w:t>Riferimento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Riferimenti giuridici e istruzioni</w:t>
            </w:r>
          </w:p>
        </w:tc>
      </w:tr>
      <w:tr w:rsidR="0005278F" w:rsidRPr="00844DC7" w14:paraId="137E3968" w14:textId="77777777" w:rsidTr="5A0D947F">
        <w:trPr>
          <w:trHeight w:val="277"/>
        </w:trPr>
        <w:tc>
          <w:tcPr>
            <w:tcW w:w="1413" w:type="dxa"/>
            <w:vMerge/>
          </w:tcPr>
          <w:p w14:paraId="137E3966" w14:textId="77777777" w:rsidR="0005278F" w:rsidRPr="00844DC7"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Spiegazione</w:t>
            </w:r>
          </w:p>
        </w:tc>
      </w:tr>
      <w:tr w:rsidR="0005278F" w:rsidRPr="00844DC7" w14:paraId="137E396C" w14:textId="77777777" w:rsidTr="5A0D947F">
        <w:trPr>
          <w:trHeight w:val="316"/>
        </w:trPr>
        <w:tc>
          <w:tcPr>
            <w:tcW w:w="1413" w:type="dxa"/>
            <w:vAlign w:val="center"/>
          </w:tcPr>
          <w:p w14:paraId="137E3969"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a</w:t>
            </w:r>
          </w:p>
        </w:tc>
        <w:tc>
          <w:tcPr>
            <w:tcW w:w="7654" w:type="dxa"/>
          </w:tcPr>
          <w:p w14:paraId="137E396A"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 xml:space="preserve">Esposizioni pre-CCF e pre-CRM – Esposizioni in bilancio: </w:t>
            </w:r>
          </w:p>
          <w:p w14:paraId="137E396B" w14:textId="363D8C44" w:rsidR="0005278F" w:rsidRPr="00844DC7" w:rsidRDefault="0005278F" w:rsidP="0027241B">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gli enti indicano il valore dell</w:t>
            </w:r>
            <w:r w:rsidR="00F16DA0" w:rsidRPr="00844DC7">
              <w:rPr>
                <w:rFonts w:ascii="Times New Roman" w:hAnsi="Times New Roman"/>
                <w:sz w:val="24"/>
              </w:rPr>
              <w:t>'</w:t>
            </w:r>
            <w:r w:rsidRPr="00844DC7">
              <w:rPr>
                <w:rFonts w:ascii="Times New Roman" w:hAnsi="Times New Roman"/>
                <w:sz w:val="24"/>
              </w:rPr>
              <w:t>esposizione in bilancio nell</w:t>
            </w:r>
            <w:r w:rsidR="00F16DA0" w:rsidRPr="00844DC7">
              <w:rPr>
                <w:rFonts w:ascii="Times New Roman" w:hAnsi="Times New Roman"/>
                <w:sz w:val="24"/>
              </w:rPr>
              <w:t>'</w:t>
            </w:r>
            <w:r w:rsidRPr="00844DC7">
              <w:rPr>
                <w:rFonts w:ascii="Times New Roman" w:hAnsi="Times New Roman"/>
                <w:sz w:val="24"/>
              </w:rPr>
              <w:t>ambito del consolidamento prudenziale conformemente all</w:t>
            </w:r>
            <w:r w:rsidR="00F16DA0" w:rsidRPr="00844DC7">
              <w:rPr>
                <w:rFonts w:ascii="Times New Roman" w:hAnsi="Times New Roman"/>
                <w:sz w:val="24"/>
              </w:rPr>
              <w:t>'</w:t>
            </w:r>
            <w:r w:rsidRPr="00844DC7">
              <w:rPr>
                <w:rFonts w:ascii="Times New Roman" w:hAnsi="Times New Roman"/>
                <w:sz w:val="24"/>
              </w:rPr>
              <w:t xml:space="preserve">articolo 111 del </w:t>
            </w:r>
            <w:r w:rsidRPr="00844DC7">
              <w:rPr>
                <w:rFonts w:ascii="Times New Roman" w:hAnsi="Times New Roman"/>
                <w:color w:val="000000" w:themeColor="text1"/>
                <w:sz w:val="24"/>
              </w:rPr>
              <w:t>regolamento (UE) n. 575/2013</w:t>
            </w:r>
            <w:r w:rsidRPr="00844DC7">
              <w:rPr>
                <w:rFonts w:ascii="Times New Roman" w:hAnsi="Times New Roman"/>
                <w:sz w:val="24"/>
              </w:rPr>
              <w:t>, dopo l</w:t>
            </w:r>
            <w:r w:rsidR="00F16DA0" w:rsidRPr="00844DC7">
              <w:rPr>
                <w:rFonts w:ascii="Times New Roman" w:hAnsi="Times New Roman"/>
                <w:sz w:val="24"/>
              </w:rPr>
              <w:t>'</w:t>
            </w:r>
            <w:r w:rsidRPr="00844DC7">
              <w:rPr>
                <w:rFonts w:ascii="Times New Roman" w:hAnsi="Times New Roman"/>
                <w:sz w:val="24"/>
              </w:rPr>
              <w:t>applicazione delle rettifiche di valore su crediti specifiche ai sensi dell</w:t>
            </w:r>
            <w:r w:rsidR="00F16DA0" w:rsidRPr="00844DC7">
              <w:rPr>
                <w:rFonts w:ascii="Times New Roman" w:hAnsi="Times New Roman"/>
                <w:sz w:val="24"/>
              </w:rPr>
              <w:t>'</w:t>
            </w:r>
            <w:r w:rsidRPr="00844DC7">
              <w:rPr>
                <w:rFonts w:ascii="Times New Roman" w:hAnsi="Times New Roman"/>
                <w:sz w:val="24"/>
              </w:rPr>
              <w:t xml:space="preserve">articolo 110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delle rettifiche di valore supplementari ai sensi degli articoli 34 e 105 del </w:t>
            </w:r>
            <w:r w:rsidRPr="00844DC7">
              <w:rPr>
                <w:rFonts w:ascii="Times New Roman" w:hAnsi="Times New Roman"/>
                <w:color w:val="000000" w:themeColor="text1"/>
                <w:sz w:val="24"/>
              </w:rPr>
              <w:t>regolamento (UE) n. 575/2013</w:t>
            </w:r>
            <w:r w:rsidRPr="00844DC7">
              <w:rPr>
                <w:rFonts w:ascii="Times New Roman" w:hAnsi="Times New Roman"/>
                <w:sz w:val="24"/>
              </w:rPr>
              <w:t>, delle deduzioni degli importi ai sensi dell</w:t>
            </w:r>
            <w:r w:rsidR="00F16DA0" w:rsidRPr="00844DC7">
              <w:rPr>
                <w:rFonts w:ascii="Times New Roman" w:hAnsi="Times New Roman"/>
                <w:sz w:val="24"/>
              </w:rPr>
              <w:t>'</w:t>
            </w:r>
            <w:r w:rsidRPr="00844DC7">
              <w:rPr>
                <w:rFonts w:ascii="Times New Roman" w:hAnsi="Times New Roman"/>
                <w:sz w:val="24"/>
              </w:rPr>
              <w:t xml:space="preserve">articolo 36, paragrafo 1, lettera m), del </w:t>
            </w:r>
            <w:r w:rsidRPr="00844DC7">
              <w:rPr>
                <w:rFonts w:ascii="Times New Roman" w:hAnsi="Times New Roman"/>
                <w:color w:val="000000" w:themeColor="text1"/>
                <w:sz w:val="24"/>
              </w:rPr>
              <w:t>regolamento (UE) n. 575/2013</w:t>
            </w:r>
            <w:r w:rsidRPr="00844DC7">
              <w:rPr>
                <w:rFonts w:ascii="Times New Roman" w:hAnsi="Times New Roman"/>
                <w:sz w:val="24"/>
              </w:rPr>
              <w:t>, di altre riduzioni di fondi propri e delle cancellazioni (quali definite nella disciplina contabile applicabile), ma prima i) dell</w:t>
            </w:r>
            <w:r w:rsidR="00F16DA0" w:rsidRPr="00844DC7">
              <w:rPr>
                <w:rFonts w:ascii="Times New Roman" w:hAnsi="Times New Roman"/>
                <w:sz w:val="24"/>
              </w:rPr>
              <w:t>'</w:t>
            </w:r>
            <w:r w:rsidRPr="00844DC7">
              <w:rPr>
                <w:rFonts w:ascii="Times New Roman" w:hAnsi="Times New Roman"/>
                <w:sz w:val="24"/>
              </w:rPr>
              <w:t>applicazione dei fattori di conversione del credito specificati nello stesso articolo e ii) dell</w:t>
            </w:r>
            <w:r w:rsidR="00F16DA0" w:rsidRPr="00844DC7">
              <w:rPr>
                <w:rFonts w:ascii="Times New Roman" w:hAnsi="Times New Roman"/>
                <w:sz w:val="24"/>
              </w:rPr>
              <w:t>'</w:t>
            </w:r>
            <w:r w:rsidRPr="00844DC7">
              <w:rPr>
                <w:rFonts w:ascii="Times New Roman" w:hAnsi="Times New Roman"/>
                <w:sz w:val="24"/>
              </w:rPr>
              <w:t>applicazione delle tecniche di CRM specificate nella parte tre, titolo</w:t>
            </w:r>
            <w:r w:rsidR="000F63A1" w:rsidRPr="00844DC7">
              <w:rPr>
                <w:rFonts w:ascii="Times New Roman" w:hAnsi="Times New Roman"/>
                <w:sz w:val="24"/>
              </w:rPr>
              <w:t xml:space="preserve"> </w:t>
            </w:r>
            <w:r w:rsidRPr="00844DC7">
              <w:rPr>
                <w:rFonts w:ascii="Times New Roman" w:hAnsi="Times New Roman"/>
                <w:sz w:val="24"/>
              </w:rPr>
              <w:t>II, capo</w:t>
            </w:r>
            <w:r w:rsidR="000F63A1" w:rsidRPr="00844DC7">
              <w:rPr>
                <w:rFonts w:ascii="Times New Roman" w:hAnsi="Times New Roman"/>
                <w:sz w:val="24"/>
              </w:rPr>
              <w:t> </w:t>
            </w:r>
            <w:r w:rsidRPr="00844DC7">
              <w:rPr>
                <w:rFonts w:ascii="Times New Roman" w:hAnsi="Times New Roman"/>
                <w:sz w:val="24"/>
              </w:rPr>
              <w:t>4, del regolamento (UE) n. 575/2013. Ai valori dell</w:t>
            </w:r>
            <w:r w:rsidR="00F16DA0" w:rsidRPr="00844DC7">
              <w:rPr>
                <w:rFonts w:ascii="Times New Roman" w:hAnsi="Times New Roman"/>
                <w:sz w:val="24"/>
              </w:rPr>
              <w:t>'</w:t>
            </w:r>
            <w:r w:rsidRPr="00844DC7">
              <w:rPr>
                <w:rFonts w:ascii="Times New Roman" w:hAnsi="Times New Roman"/>
                <w:sz w:val="24"/>
              </w:rPr>
              <w:t>esposizione per i contratti di leasing si applica 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134, paragrafo</w:t>
            </w:r>
            <w:r w:rsidR="000F63A1" w:rsidRPr="00844DC7">
              <w:rPr>
                <w:rFonts w:ascii="Times New Roman" w:hAnsi="Times New Roman"/>
                <w:sz w:val="24"/>
              </w:rPr>
              <w:t> </w:t>
            </w:r>
            <w:r w:rsidRPr="00844DC7">
              <w:rPr>
                <w:rFonts w:ascii="Times New Roman" w:hAnsi="Times New Roman"/>
                <w:sz w:val="24"/>
              </w:rPr>
              <w:t xml:space="preserve">7,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w:t>
            </w:r>
          </w:p>
        </w:tc>
      </w:tr>
      <w:tr w:rsidR="0005278F" w:rsidRPr="00844DC7" w14:paraId="137E3970" w14:textId="77777777" w:rsidTr="5A0D947F">
        <w:trPr>
          <w:trHeight w:val="316"/>
        </w:trPr>
        <w:tc>
          <w:tcPr>
            <w:tcW w:w="1413" w:type="dxa"/>
            <w:vAlign w:val="center"/>
          </w:tcPr>
          <w:p w14:paraId="137E396D"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b</w:t>
            </w:r>
          </w:p>
        </w:tc>
        <w:tc>
          <w:tcPr>
            <w:tcW w:w="7654" w:type="dxa"/>
          </w:tcPr>
          <w:p w14:paraId="137E396E"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Esposizioni pre-CCF e pre-CRM – Esposizioni fuori bilancio:</w:t>
            </w:r>
          </w:p>
          <w:p w14:paraId="137E396F" w14:textId="55FC3313"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gli enti indicano il valore dell</w:t>
            </w:r>
            <w:r w:rsidR="00F16DA0" w:rsidRPr="00844DC7">
              <w:rPr>
                <w:rFonts w:ascii="Times New Roman" w:hAnsi="Times New Roman"/>
                <w:sz w:val="24"/>
              </w:rPr>
              <w:t>'</w:t>
            </w:r>
            <w:r w:rsidRPr="00844DC7">
              <w:rPr>
                <w:rFonts w:ascii="Times New Roman" w:hAnsi="Times New Roman"/>
                <w:sz w:val="24"/>
              </w:rPr>
              <w:t>esposizione fuori bilancio nell</w:t>
            </w:r>
            <w:r w:rsidR="00F16DA0" w:rsidRPr="00844DC7">
              <w:rPr>
                <w:rFonts w:ascii="Times New Roman" w:hAnsi="Times New Roman"/>
                <w:sz w:val="24"/>
              </w:rPr>
              <w:t>'</w:t>
            </w:r>
            <w:r w:rsidRPr="00844DC7">
              <w:rPr>
                <w:rFonts w:ascii="Times New Roman" w:hAnsi="Times New Roman"/>
                <w:sz w:val="24"/>
              </w:rPr>
              <w:t>ambito del consolidamento prudenziale, dopo l</w:t>
            </w:r>
            <w:r w:rsidR="00F16DA0" w:rsidRPr="00844DC7">
              <w:rPr>
                <w:rFonts w:ascii="Times New Roman" w:hAnsi="Times New Roman"/>
                <w:sz w:val="24"/>
              </w:rPr>
              <w:t>'</w:t>
            </w:r>
            <w:r w:rsidRPr="00844DC7">
              <w:rPr>
                <w:rFonts w:ascii="Times New Roman" w:hAnsi="Times New Roman"/>
                <w:sz w:val="24"/>
              </w:rPr>
              <w:t>applicazione delle rettifiche di valore su crediti specifiche e delle deduzioni degli importi ai sensi dell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36, paragrafo</w:t>
            </w:r>
            <w:r w:rsidR="00F16DA0" w:rsidRPr="00844DC7">
              <w:rPr>
                <w:rFonts w:ascii="Times New Roman" w:hAnsi="Times New Roman"/>
                <w:sz w:val="24"/>
              </w:rPr>
              <w:t> </w:t>
            </w:r>
            <w:r w:rsidRPr="00844DC7">
              <w:rPr>
                <w:rFonts w:ascii="Times New Roman" w:hAnsi="Times New Roman"/>
                <w:sz w:val="24"/>
              </w:rPr>
              <w:t>1, lettera</w:t>
            </w:r>
            <w:r w:rsidR="000F63A1" w:rsidRPr="00844DC7">
              <w:rPr>
                <w:rFonts w:ascii="Times New Roman" w:hAnsi="Times New Roman"/>
                <w:sz w:val="24"/>
              </w:rPr>
              <w:t xml:space="preserve"> </w:t>
            </w:r>
            <w:r w:rsidRPr="00844DC7">
              <w:rPr>
                <w:rFonts w:ascii="Times New Roman" w:hAnsi="Times New Roman"/>
                <w:sz w:val="24"/>
              </w:rPr>
              <w:t>m),</w:t>
            </w:r>
            <w:r w:rsidRPr="00844DC7">
              <w:rPr>
                <w:rFonts w:ascii="Times New Roman" w:hAnsi="Times New Roman"/>
                <w:color w:val="498205"/>
                <w:sz w:val="24"/>
              </w:rPr>
              <w:t xml:space="preserve"> </w:t>
            </w:r>
            <w:r w:rsidRPr="00844DC7">
              <w:rPr>
                <w:rFonts w:ascii="Times New Roman" w:hAnsi="Times New Roman"/>
                <w:sz w:val="24"/>
              </w:rPr>
              <w:t>del regolamento (UE) n. 575/2013, ma prima dell</w:t>
            </w:r>
            <w:r w:rsidR="00F16DA0" w:rsidRPr="00844DC7">
              <w:rPr>
                <w:rFonts w:ascii="Times New Roman" w:hAnsi="Times New Roman"/>
                <w:sz w:val="24"/>
              </w:rPr>
              <w:t>'</w:t>
            </w:r>
            <w:r w:rsidRPr="00844DC7">
              <w:rPr>
                <w:rFonts w:ascii="Times New Roman" w:hAnsi="Times New Roman"/>
                <w:sz w:val="24"/>
              </w:rPr>
              <w:t>applicazione dei fattori di conversione del credito conformemente all</w:t>
            </w:r>
            <w:r w:rsidR="00F16DA0" w:rsidRPr="00844DC7">
              <w:rPr>
                <w:rFonts w:ascii="Times New Roman" w:hAnsi="Times New Roman"/>
                <w:sz w:val="24"/>
              </w:rPr>
              <w:t>'</w:t>
            </w:r>
            <w:r w:rsidRPr="00844DC7">
              <w:rPr>
                <w:rFonts w:ascii="Times New Roman" w:hAnsi="Times New Roman"/>
                <w:sz w:val="24"/>
              </w:rPr>
              <w:t>articolo 111 di tale regolamento e prima dell</w:t>
            </w:r>
            <w:r w:rsidR="00F16DA0" w:rsidRPr="00844DC7">
              <w:rPr>
                <w:rFonts w:ascii="Times New Roman" w:hAnsi="Times New Roman"/>
                <w:sz w:val="24"/>
              </w:rPr>
              <w:t>'</w:t>
            </w:r>
            <w:r w:rsidRPr="00844DC7">
              <w:rPr>
                <w:rFonts w:ascii="Times New Roman" w:hAnsi="Times New Roman"/>
                <w:sz w:val="24"/>
              </w:rPr>
              <w:t>effetto delle tecniche di CRM (in applicazione della parte tre, titolo II, capo 4, del medesimo regolamento).</w:t>
            </w:r>
          </w:p>
        </w:tc>
      </w:tr>
      <w:tr w:rsidR="0005278F" w:rsidRPr="00844DC7" w14:paraId="137E3974" w14:textId="77777777" w:rsidTr="5A0D947F">
        <w:trPr>
          <w:trHeight w:val="316"/>
        </w:trPr>
        <w:tc>
          <w:tcPr>
            <w:tcW w:w="1413" w:type="dxa"/>
            <w:vAlign w:val="center"/>
          </w:tcPr>
          <w:p w14:paraId="137E3971"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lastRenderedPageBreak/>
              <w:t>c</w:t>
            </w:r>
          </w:p>
        </w:tc>
        <w:tc>
          <w:tcPr>
            <w:tcW w:w="7654" w:type="dxa"/>
          </w:tcPr>
          <w:p w14:paraId="137E3972"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 xml:space="preserve">Esposizioni post-CCF e post-CRM – Esposizioni in bilancio: </w:t>
            </w:r>
          </w:p>
          <w:p w14:paraId="137E3973" w14:textId="09C553BA"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gli enti indicano l</w:t>
            </w:r>
            <w:r w:rsidR="00F16DA0" w:rsidRPr="00844DC7">
              <w:rPr>
                <w:rFonts w:ascii="Times New Roman" w:hAnsi="Times New Roman"/>
                <w:sz w:val="24"/>
              </w:rPr>
              <w:t>'</w:t>
            </w:r>
            <w:r w:rsidRPr="00844DC7">
              <w:rPr>
                <w:rFonts w:ascii="Times New Roman" w:hAnsi="Times New Roman"/>
                <w:sz w:val="24"/>
              </w:rPr>
              <w:t>importo del valore dell</w:t>
            </w:r>
            <w:r w:rsidR="00F16DA0" w:rsidRPr="00844DC7">
              <w:rPr>
                <w:rFonts w:ascii="Times New Roman" w:hAnsi="Times New Roman"/>
                <w:sz w:val="24"/>
              </w:rPr>
              <w:t>'</w:t>
            </w:r>
            <w:r w:rsidRPr="00844DC7">
              <w:rPr>
                <w:rFonts w:ascii="Times New Roman" w:hAnsi="Times New Roman"/>
                <w:sz w:val="24"/>
              </w:rPr>
              <w:t>esposizione in bilancio nell</w:t>
            </w:r>
            <w:r w:rsidR="00F16DA0" w:rsidRPr="00844DC7">
              <w:rPr>
                <w:rFonts w:ascii="Times New Roman" w:hAnsi="Times New Roman"/>
                <w:sz w:val="24"/>
              </w:rPr>
              <w:t>'</w:t>
            </w:r>
            <w:r w:rsidRPr="00844DC7">
              <w:rPr>
                <w:rFonts w:ascii="Times New Roman" w:hAnsi="Times New Roman"/>
                <w:sz w:val="24"/>
              </w:rPr>
              <w:t>ambito del consolidamento prudenziale (conformemente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111</w:t>
            </w:r>
            <w:r w:rsidRPr="00844DC7">
              <w:rPr>
                <w:rFonts w:ascii="Times New Roman" w:hAnsi="Times New Roman"/>
                <w:color w:val="498205"/>
                <w:sz w:val="24"/>
              </w:rPr>
              <w:t xml:space="preserve"> </w:t>
            </w:r>
            <w:r w:rsidRPr="00844DC7">
              <w:rPr>
                <w:rFonts w:ascii="Times New Roman" w:hAnsi="Times New Roman"/>
                <w:sz w:val="24"/>
              </w:rPr>
              <w:t>del regolamento (UE) n. 575/2013), dopo l</w:t>
            </w:r>
            <w:r w:rsidR="00F16DA0" w:rsidRPr="00844DC7">
              <w:rPr>
                <w:rFonts w:ascii="Times New Roman" w:hAnsi="Times New Roman"/>
                <w:sz w:val="24"/>
              </w:rPr>
              <w:t>'</w:t>
            </w:r>
            <w:r w:rsidRPr="00844DC7">
              <w:rPr>
                <w:rFonts w:ascii="Times New Roman" w:hAnsi="Times New Roman"/>
                <w:sz w:val="24"/>
              </w:rPr>
              <w:t>applicazione delle rettifiche di valore su crediti specifiche ai sensi dell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110 del regolamento (UE) n. 575/2013, delle rettifiche di valore supplementari ai sensi degli articoli 34 e 105 di tale regolamento, delle deduzioni degli importi ai sensi dell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36, paragrafo 1, lettera m), del medesimo regolamento, di altre riduzioni di fondi propri e delle cancellazioni quali definite nella disciplina contabile applicabile, dopo l</w:t>
            </w:r>
            <w:r w:rsidR="00F16DA0" w:rsidRPr="00844DC7">
              <w:rPr>
                <w:rFonts w:ascii="Times New Roman" w:hAnsi="Times New Roman"/>
                <w:sz w:val="24"/>
              </w:rPr>
              <w:t>'</w:t>
            </w:r>
            <w:r w:rsidRPr="00844DC7">
              <w:rPr>
                <w:rFonts w:ascii="Times New Roman" w:hAnsi="Times New Roman"/>
                <w:sz w:val="24"/>
              </w:rPr>
              <w:t>applicazione di tutti gli strumenti di attenuazione del rischio di credito e i fattori di conversione del credito. Si tratta dell</w:t>
            </w:r>
            <w:r w:rsidR="00F16DA0" w:rsidRPr="00844DC7">
              <w:rPr>
                <w:rFonts w:ascii="Times New Roman" w:hAnsi="Times New Roman"/>
                <w:sz w:val="24"/>
              </w:rPr>
              <w:t>'</w:t>
            </w:r>
            <w:r w:rsidRPr="00844DC7">
              <w:rPr>
                <w:rFonts w:ascii="Times New Roman" w:hAnsi="Times New Roman"/>
                <w:sz w:val="24"/>
              </w:rPr>
              <w:t>importo al quale si applicano i fattori di ponderazione del rischio (conformemente all</w:t>
            </w:r>
            <w:r w:rsidR="00F16DA0" w:rsidRPr="00844DC7">
              <w:rPr>
                <w:rFonts w:ascii="Times New Roman" w:hAnsi="Times New Roman"/>
                <w:sz w:val="24"/>
              </w:rPr>
              <w:t>'</w:t>
            </w:r>
            <w:r w:rsidRPr="00844DC7">
              <w:rPr>
                <w:rFonts w:ascii="Times New Roman" w:hAnsi="Times New Roman"/>
                <w:sz w:val="24"/>
              </w:rPr>
              <w:t>articolo 113 del regolamento (UE) n. 575/2013 e alla parte tre, titolo II, capo 2, sezione 2, di tale regolamento). È l</w:t>
            </w:r>
            <w:r w:rsidR="00F16DA0" w:rsidRPr="00844DC7">
              <w:rPr>
                <w:rFonts w:ascii="Times New Roman" w:hAnsi="Times New Roman"/>
                <w:sz w:val="24"/>
              </w:rPr>
              <w:t>'</w:t>
            </w:r>
            <w:r w:rsidRPr="00844DC7">
              <w:rPr>
                <w:rFonts w:ascii="Times New Roman" w:hAnsi="Times New Roman"/>
                <w:sz w:val="24"/>
              </w:rPr>
              <w:t>importo equivalente al credito netto, dopo aver applicato le tecniche di CRM e il CCF.</w:t>
            </w:r>
          </w:p>
        </w:tc>
      </w:tr>
      <w:tr w:rsidR="0005278F" w:rsidRPr="00844DC7" w14:paraId="137E3978" w14:textId="77777777" w:rsidTr="5A0D947F">
        <w:trPr>
          <w:trHeight w:val="316"/>
        </w:trPr>
        <w:tc>
          <w:tcPr>
            <w:tcW w:w="1413" w:type="dxa"/>
            <w:vAlign w:val="center"/>
          </w:tcPr>
          <w:p w14:paraId="137E3975"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d</w:t>
            </w:r>
          </w:p>
        </w:tc>
        <w:tc>
          <w:tcPr>
            <w:tcW w:w="7654" w:type="dxa"/>
          </w:tcPr>
          <w:p w14:paraId="137E3976"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 xml:space="preserve">Esposizioni post-CCF e post-CRM – Esposizioni fuori bilancio: </w:t>
            </w:r>
          </w:p>
          <w:p w14:paraId="137E3977" w14:textId="4C6180CD"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gli enti pubblicano l</w:t>
            </w:r>
            <w:r w:rsidR="00F16DA0" w:rsidRPr="00844DC7">
              <w:rPr>
                <w:rFonts w:ascii="Times New Roman" w:hAnsi="Times New Roman"/>
                <w:sz w:val="24"/>
              </w:rPr>
              <w:t>'</w:t>
            </w:r>
            <w:r w:rsidRPr="00844DC7">
              <w:rPr>
                <w:rFonts w:ascii="Times New Roman" w:hAnsi="Times New Roman"/>
                <w:sz w:val="24"/>
              </w:rPr>
              <w:t>importo del valore dell</w:t>
            </w:r>
            <w:r w:rsidR="00F16DA0" w:rsidRPr="00844DC7">
              <w:rPr>
                <w:rFonts w:ascii="Times New Roman" w:hAnsi="Times New Roman"/>
                <w:sz w:val="24"/>
              </w:rPr>
              <w:t>'</w:t>
            </w:r>
            <w:r w:rsidRPr="00844DC7">
              <w:rPr>
                <w:rFonts w:ascii="Times New Roman" w:hAnsi="Times New Roman"/>
                <w:sz w:val="24"/>
              </w:rPr>
              <w:t>esposizione fuori bilancio dopo aver tenuto conto delle rettifiche di valore su crediti specifiche quali definite nel regolamento delegato (UE) n. 183/2014 della Commissione</w:t>
            </w:r>
            <w:r w:rsidRPr="00844DC7">
              <w:rPr>
                <w:rStyle w:val="FootnoteReference"/>
                <w:rFonts w:ascii="Times New Roman" w:eastAsia="Times New Roman" w:hAnsi="Times New Roman" w:cs="Times New Roman"/>
              </w:rPr>
              <w:footnoteReference w:id="3"/>
            </w:r>
            <w:r w:rsidRPr="00844DC7">
              <w:rPr>
                <w:rFonts w:ascii="Times New Roman" w:hAnsi="Times New Roman"/>
                <w:sz w:val="24"/>
              </w:rPr>
              <w:t>, delle rettifiche di valore supplementari e di altre riduzioni dei fondi propri, dopo l</w:t>
            </w:r>
            <w:r w:rsidR="00F16DA0" w:rsidRPr="00844DC7">
              <w:rPr>
                <w:rFonts w:ascii="Times New Roman" w:hAnsi="Times New Roman"/>
                <w:sz w:val="24"/>
              </w:rPr>
              <w:t>'</w:t>
            </w:r>
            <w:r w:rsidRPr="00844DC7">
              <w:rPr>
                <w:rFonts w:ascii="Times New Roman" w:hAnsi="Times New Roman"/>
                <w:sz w:val="24"/>
              </w:rPr>
              <w:t>applicazione di tutti gli strumenti di attenuazione del rischio di credito e i fattori di conversione del credito. Si tratta dell</w:t>
            </w:r>
            <w:r w:rsidR="00F16DA0" w:rsidRPr="00844DC7">
              <w:rPr>
                <w:rFonts w:ascii="Times New Roman" w:hAnsi="Times New Roman"/>
                <w:sz w:val="24"/>
              </w:rPr>
              <w:t>'</w:t>
            </w:r>
            <w:r w:rsidRPr="00844DC7">
              <w:rPr>
                <w:rFonts w:ascii="Times New Roman" w:hAnsi="Times New Roman"/>
                <w:sz w:val="24"/>
              </w:rPr>
              <w:t>importo al quale si applicano i fattori di ponderazione del rischio (conformemente all</w:t>
            </w:r>
            <w:r w:rsidR="00F16DA0" w:rsidRPr="00844DC7">
              <w:rPr>
                <w:rFonts w:ascii="Times New Roman" w:hAnsi="Times New Roman"/>
                <w:sz w:val="24"/>
              </w:rPr>
              <w:t>'</w:t>
            </w:r>
            <w:r w:rsidRPr="00844DC7">
              <w:rPr>
                <w:rFonts w:ascii="Times New Roman" w:hAnsi="Times New Roman"/>
                <w:sz w:val="24"/>
              </w:rPr>
              <w:t>articolo 113 del regolamento (UE) n. 575/2013 e alla parte tre, titolo II, capo 2, sezione 2, di tale regolamento). È l</w:t>
            </w:r>
            <w:r w:rsidR="00F16DA0" w:rsidRPr="00844DC7">
              <w:rPr>
                <w:rFonts w:ascii="Times New Roman" w:hAnsi="Times New Roman"/>
                <w:sz w:val="24"/>
              </w:rPr>
              <w:t>'</w:t>
            </w:r>
            <w:r w:rsidRPr="00844DC7">
              <w:rPr>
                <w:rFonts w:ascii="Times New Roman" w:hAnsi="Times New Roman"/>
                <w:sz w:val="24"/>
              </w:rPr>
              <w:t>importo equivalente al credito netto, dopo aver applicato le tecniche di CRM e il CCF.</w:t>
            </w:r>
          </w:p>
        </w:tc>
      </w:tr>
      <w:tr w:rsidR="0005278F" w:rsidRPr="00844DC7" w14:paraId="137E397C" w14:textId="77777777" w:rsidTr="5A0D947F">
        <w:trPr>
          <w:trHeight w:val="316"/>
        </w:trPr>
        <w:tc>
          <w:tcPr>
            <w:tcW w:w="1413" w:type="dxa"/>
            <w:vAlign w:val="center"/>
          </w:tcPr>
          <w:p w14:paraId="137E3979"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e</w:t>
            </w:r>
          </w:p>
        </w:tc>
        <w:tc>
          <w:tcPr>
            <w:tcW w:w="7654" w:type="dxa"/>
          </w:tcPr>
          <w:p w14:paraId="137E397A"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RWEA</w:t>
            </w:r>
          </w:p>
          <w:p w14:paraId="137E397B" w14:textId="1F9983D6" w:rsidR="0005278F" w:rsidRPr="00844DC7" w:rsidRDefault="0005278F" w:rsidP="004F3087">
            <w:pPr>
              <w:autoSpaceDE w:val="0"/>
              <w:autoSpaceDN w:val="0"/>
              <w:adjustRightInd w:val="0"/>
              <w:spacing w:after="120"/>
              <w:jc w:val="both"/>
              <w:rPr>
                <w:rFonts w:ascii="Times New Roman" w:eastAsia="Times New Roman" w:hAnsi="Times New Roman" w:cs="Times New Roman"/>
                <w:iCs/>
                <w:sz w:val="24"/>
              </w:rPr>
            </w:pPr>
            <w:r w:rsidRPr="00844DC7">
              <w:rPr>
                <w:rFonts w:ascii="Times New Roman" w:hAnsi="Times New Roman"/>
                <w:sz w:val="24"/>
              </w:rPr>
              <w:t>Importi delle esposizioni ponderati per il rischio (RWEA) calcolati conformemente alla parte tre, titolo II, capo 2, sezione 2, del regolamento (UE) n. 575/2013.</w:t>
            </w:r>
          </w:p>
        </w:tc>
      </w:tr>
      <w:tr w:rsidR="0005278F" w:rsidRPr="00844DC7" w14:paraId="137E3981" w14:textId="77777777" w:rsidTr="5A0D947F">
        <w:trPr>
          <w:trHeight w:val="316"/>
        </w:trPr>
        <w:tc>
          <w:tcPr>
            <w:tcW w:w="1413" w:type="dxa"/>
            <w:vAlign w:val="center"/>
          </w:tcPr>
          <w:p w14:paraId="137E397D" w14:textId="77777777"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f</w:t>
            </w:r>
          </w:p>
        </w:tc>
        <w:tc>
          <w:tcPr>
            <w:tcW w:w="7654" w:type="dxa"/>
          </w:tcPr>
          <w:p w14:paraId="137E397E"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Densità degli RWEA</w:t>
            </w:r>
          </w:p>
          <w:p w14:paraId="137E397F"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iCs/>
                <w:sz w:val="24"/>
              </w:rPr>
            </w:pPr>
            <w:r w:rsidRPr="00844DC7">
              <w:rPr>
                <w:rFonts w:ascii="Times New Roman" w:hAnsi="Times New Roman"/>
                <w:sz w:val="24"/>
              </w:rPr>
              <w:t>(Colonna e/Colonne (c + d) di questo modello)</w:t>
            </w:r>
          </w:p>
          <w:p w14:paraId="137E3980" w14:textId="65891015" w:rsidR="0005278F" w:rsidRPr="00844DC7" w:rsidRDefault="0005278F" w:rsidP="004F3087">
            <w:pPr>
              <w:autoSpaceDE w:val="0"/>
              <w:autoSpaceDN w:val="0"/>
              <w:adjustRightInd w:val="0"/>
              <w:spacing w:after="120"/>
              <w:jc w:val="both"/>
              <w:rPr>
                <w:rFonts w:ascii="Times New Roman" w:eastAsia="Times New Roman" w:hAnsi="Times New Roman" w:cs="Times New Roman"/>
                <w:iCs/>
                <w:sz w:val="24"/>
              </w:rPr>
            </w:pPr>
            <w:r w:rsidRPr="00844DC7">
              <w:rPr>
                <w:rFonts w:ascii="Times New Roman" w:hAnsi="Times New Roman"/>
                <w:sz w:val="24"/>
              </w:rPr>
              <w:t>Il rapporto è calcolato dividendo gli RWEA della rispettiva classe di esposizioni (colonna e di questo modello) per l</w:t>
            </w:r>
            <w:r w:rsidR="00F16DA0" w:rsidRPr="00844DC7">
              <w:rPr>
                <w:rFonts w:ascii="Times New Roman" w:hAnsi="Times New Roman"/>
                <w:sz w:val="24"/>
              </w:rPr>
              <w:t>'</w:t>
            </w:r>
            <w:r w:rsidRPr="00844DC7">
              <w:rPr>
                <w:rFonts w:ascii="Times New Roman" w:hAnsi="Times New Roman"/>
                <w:sz w:val="24"/>
              </w:rPr>
              <w:t>importo delle rispettive esposizioni dopo aver tenuto conto di tutti gli strumenti di attenuazione del rischio di credito e i fattori di conversione del credito (somma degli importi nelle colonne c e d di questo modello).</w:t>
            </w:r>
          </w:p>
        </w:tc>
      </w:tr>
    </w:tbl>
    <w:p w14:paraId="137E3982" w14:textId="664BD25D" w:rsidR="0005278F" w:rsidRPr="00844DC7"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844DC7"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844DC7" w:rsidRDefault="005A70FA" w:rsidP="00F16DA0">
            <w:pPr>
              <w:keepNext/>
              <w:spacing w:after="120"/>
              <w:rPr>
                <w:rFonts w:ascii="Times New Roman" w:hAnsi="Times New Roman" w:cs="Times New Roman"/>
                <w:b/>
                <w:sz w:val="24"/>
              </w:rPr>
            </w:pPr>
            <w:r w:rsidRPr="00844DC7">
              <w:rPr>
                <w:rFonts w:ascii="Times New Roman" w:hAnsi="Times New Roman"/>
                <w:b/>
                <w:sz w:val="24"/>
              </w:rPr>
              <w:lastRenderedPageBreak/>
              <w:t>Riferimenti giuridici e istruzioni</w:t>
            </w:r>
          </w:p>
        </w:tc>
      </w:tr>
      <w:tr w:rsidR="00535F36" w:rsidRPr="00844DC7" w14:paraId="15637106" w14:textId="77777777" w:rsidTr="005A70FA">
        <w:trPr>
          <w:trHeight w:val="336"/>
        </w:trPr>
        <w:tc>
          <w:tcPr>
            <w:tcW w:w="1413" w:type="dxa"/>
            <w:shd w:val="clear" w:color="auto" w:fill="D9D9D9" w:themeFill="background1" w:themeFillShade="D9"/>
          </w:tcPr>
          <w:p w14:paraId="0281A12B" w14:textId="2B414D4C" w:rsidR="00535F36" w:rsidRPr="00844DC7" w:rsidRDefault="005A70FA" w:rsidP="00A518F7">
            <w:pPr>
              <w:autoSpaceDE w:val="0"/>
              <w:autoSpaceDN w:val="0"/>
              <w:adjustRightInd w:val="0"/>
              <w:spacing w:after="120"/>
              <w:rPr>
                <w:rFonts w:ascii="Times New Roman" w:hAnsi="Times New Roman" w:cs="Times New Roman"/>
                <w:b/>
                <w:sz w:val="24"/>
              </w:rPr>
            </w:pPr>
            <w:r w:rsidRPr="00844DC7">
              <w:rPr>
                <w:rFonts w:ascii="Times New Roman" w:hAnsi="Times New Roman"/>
                <w:b/>
                <w:sz w:val="24"/>
              </w:rPr>
              <w:t xml:space="preserve">Numero </w:t>
            </w:r>
            <w:r w:rsidR="00F16DA0" w:rsidRPr="00844DC7">
              <w:rPr>
                <w:rFonts w:ascii="Times New Roman" w:hAnsi="Times New Roman"/>
                <w:b/>
                <w:sz w:val="24"/>
              </w:rPr>
              <w:br/>
            </w:r>
            <w:r w:rsidRPr="00844DC7">
              <w:rPr>
                <w:rFonts w:ascii="Times New Roman" w:hAnsi="Times New Roman"/>
                <w:b/>
                <w:sz w:val="24"/>
              </w:rPr>
              <w:t>di riga</w:t>
            </w:r>
          </w:p>
        </w:tc>
        <w:tc>
          <w:tcPr>
            <w:tcW w:w="7654" w:type="dxa"/>
            <w:tcBorders>
              <w:left w:val="single" w:sz="4" w:space="0" w:color="auto"/>
            </w:tcBorders>
            <w:shd w:val="clear" w:color="auto" w:fill="D9D9D9" w:themeFill="background1" w:themeFillShade="D9"/>
          </w:tcPr>
          <w:p w14:paraId="4210B102" w14:textId="77777777" w:rsidR="00535F36" w:rsidRPr="00844DC7" w:rsidRDefault="00535F36" w:rsidP="00A518F7">
            <w:pPr>
              <w:autoSpaceDE w:val="0"/>
              <w:autoSpaceDN w:val="0"/>
              <w:adjustRightInd w:val="0"/>
              <w:spacing w:after="120"/>
              <w:rPr>
                <w:rFonts w:ascii="Times New Roman" w:hAnsi="Times New Roman" w:cs="Times New Roman"/>
                <w:color w:val="000000"/>
                <w:sz w:val="24"/>
              </w:rPr>
            </w:pPr>
            <w:r w:rsidRPr="00844DC7">
              <w:rPr>
                <w:rFonts w:ascii="Times New Roman" w:hAnsi="Times New Roman"/>
                <w:b/>
                <w:sz w:val="24"/>
              </w:rPr>
              <w:t>Spiegazione</w:t>
            </w:r>
          </w:p>
        </w:tc>
      </w:tr>
      <w:tr w:rsidR="00535F36" w:rsidRPr="00844DC7" w14:paraId="7FCC92DA" w14:textId="77777777" w:rsidTr="5A0D947F">
        <w:trPr>
          <w:trHeight w:val="699"/>
        </w:trPr>
        <w:tc>
          <w:tcPr>
            <w:tcW w:w="1413" w:type="dxa"/>
            <w:shd w:val="clear" w:color="auto" w:fill="auto"/>
          </w:tcPr>
          <w:p w14:paraId="22F3AEC0" w14:textId="29D6B9EF" w:rsidR="00535F36" w:rsidRPr="00844DC7" w:rsidRDefault="00926A01" w:rsidP="00FB64CF">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 xml:space="preserve">1, EU </w:t>
            </w:r>
            <w:proofErr w:type="gramStart"/>
            <w:r w:rsidRPr="00844DC7">
              <w:rPr>
                <w:rFonts w:ascii="Times New Roman" w:hAnsi="Times New Roman"/>
                <w:sz w:val="24"/>
              </w:rPr>
              <w:t>2a</w:t>
            </w:r>
            <w:proofErr w:type="gramEnd"/>
            <w:r w:rsidRPr="00844DC7">
              <w:rPr>
                <w:rFonts w:ascii="Times New Roman" w:hAnsi="Times New Roman"/>
                <w:sz w:val="24"/>
              </w:rPr>
              <w:t>, EU 2b, 3, EU 3a, 4, 5, 6, EU 7a, EU 7b, 8, 9, 10, EU 10a, EU 10b, EU</w:t>
            </w:r>
            <w:r w:rsidR="00F16DA0" w:rsidRPr="00844DC7">
              <w:rPr>
                <w:rFonts w:ascii="Times New Roman" w:hAnsi="Times New Roman"/>
                <w:sz w:val="24"/>
              </w:rPr>
              <w:t> </w:t>
            </w:r>
            <w:r w:rsidRPr="00844DC7">
              <w:rPr>
                <w:rFonts w:ascii="Times New Roman" w:hAnsi="Times New Roman"/>
                <w:sz w:val="24"/>
              </w:rPr>
              <w:t xml:space="preserve">10c </w:t>
            </w:r>
          </w:p>
        </w:tc>
        <w:tc>
          <w:tcPr>
            <w:tcW w:w="7654" w:type="dxa"/>
            <w:shd w:val="clear" w:color="auto" w:fill="auto"/>
          </w:tcPr>
          <w:p w14:paraId="7983BEBC" w14:textId="2D04746D" w:rsidR="00535F36" w:rsidRPr="00844DC7" w:rsidRDefault="00535F36" w:rsidP="00A518F7">
            <w:pPr>
              <w:spacing w:after="120"/>
              <w:jc w:val="both"/>
              <w:rPr>
                <w:rFonts w:ascii="Times New Roman" w:hAnsi="Times New Roman" w:cs="Times New Roman"/>
                <w:sz w:val="24"/>
              </w:rPr>
            </w:pPr>
            <w:r w:rsidRPr="00844DC7">
              <w:rPr>
                <w:rFonts w:ascii="Times New Roman" w:hAnsi="Times New Roman"/>
                <w:sz w:val="24"/>
              </w:rPr>
              <w:t>Classi di esposizioni quali definite ai sensi dell</w:t>
            </w:r>
            <w:r w:rsidR="00F16DA0" w:rsidRPr="00844DC7">
              <w:rPr>
                <w:rFonts w:ascii="Times New Roman" w:hAnsi="Times New Roman"/>
                <w:sz w:val="24"/>
              </w:rPr>
              <w:t>'</w:t>
            </w:r>
            <w:r w:rsidRPr="00844DC7">
              <w:rPr>
                <w:rFonts w:ascii="Times New Roman" w:hAnsi="Times New Roman"/>
                <w:sz w:val="24"/>
              </w:rPr>
              <w:t xml:space="preserve">articolo 112 del regolamento (UE) n. 575/2013. </w:t>
            </w:r>
          </w:p>
          <w:p w14:paraId="4E391AF9" w14:textId="58A03C69" w:rsidR="00535F36" w:rsidRPr="00844DC7" w:rsidRDefault="5682D6C4" w:rsidP="5A0D947F">
            <w:pPr>
              <w:spacing w:after="120"/>
              <w:jc w:val="both"/>
              <w:rPr>
                <w:rFonts w:ascii="Times New Roman" w:eastAsia="Times New Roman" w:hAnsi="Times New Roman" w:cs="Times New Roman"/>
                <w:sz w:val="24"/>
              </w:rPr>
            </w:pPr>
            <w:r w:rsidRPr="00844DC7">
              <w:rPr>
                <w:rFonts w:ascii="Times New Roman" w:hAnsi="Times New Roman"/>
                <w:sz w:val="24"/>
              </w:rPr>
              <w:t xml:space="preserve">Non sono incluse le esposizioni assegnate alla classe di esposizioni </w:t>
            </w:r>
            <w:r w:rsidR="00F16DA0" w:rsidRPr="00844DC7">
              <w:rPr>
                <w:rFonts w:ascii="Times New Roman" w:hAnsi="Times New Roman"/>
                <w:sz w:val="24"/>
              </w:rPr>
              <w:t>"</w:t>
            </w:r>
            <w:r w:rsidRPr="00844DC7">
              <w:rPr>
                <w:rFonts w:ascii="Times New Roman" w:hAnsi="Times New Roman"/>
                <w:sz w:val="24"/>
              </w:rPr>
              <w:t>elementi che rappresentano posizioni verso la cartolarizzazione</w:t>
            </w:r>
            <w:r w:rsidR="00F16DA0" w:rsidRPr="00844DC7">
              <w:rPr>
                <w:rFonts w:ascii="Times New Roman" w:hAnsi="Times New Roman"/>
                <w:sz w:val="24"/>
              </w:rPr>
              <w:t>"</w:t>
            </w:r>
            <w:r w:rsidRPr="00844DC7">
              <w:rPr>
                <w:rFonts w:ascii="Times New Roman" w:hAnsi="Times New Roman"/>
                <w:sz w:val="24"/>
              </w:rPr>
              <w:t xml:space="preserve"> di cui all</w:t>
            </w:r>
            <w:r w:rsidR="00F16DA0" w:rsidRPr="00844DC7">
              <w:rPr>
                <w:rFonts w:ascii="Times New Roman" w:hAnsi="Times New Roman"/>
                <w:sz w:val="24"/>
              </w:rPr>
              <w:t>'</w:t>
            </w:r>
            <w:r w:rsidRPr="00844DC7">
              <w:rPr>
                <w:rFonts w:ascii="Times New Roman" w:hAnsi="Times New Roman"/>
                <w:sz w:val="24"/>
              </w:rPr>
              <w:t>articolo 112, lettera m), del regolamento (UE) n. 575/2013.</w:t>
            </w:r>
          </w:p>
        </w:tc>
      </w:tr>
      <w:tr w:rsidR="00C337F1" w:rsidRPr="00844DC7" w14:paraId="64CF4F9F" w14:textId="77777777" w:rsidTr="5A0D947F">
        <w:trPr>
          <w:trHeight w:val="699"/>
        </w:trPr>
        <w:tc>
          <w:tcPr>
            <w:tcW w:w="1413" w:type="dxa"/>
            <w:shd w:val="clear" w:color="auto" w:fill="auto"/>
          </w:tcPr>
          <w:p w14:paraId="7981A2E1" w14:textId="3F1FF913" w:rsidR="00C337F1" w:rsidRPr="00844DC7" w:rsidRDefault="00C337F1"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2</w:t>
            </w:r>
          </w:p>
        </w:tc>
        <w:tc>
          <w:tcPr>
            <w:tcW w:w="7654" w:type="dxa"/>
            <w:shd w:val="clear" w:color="auto" w:fill="auto"/>
          </w:tcPr>
          <w:p w14:paraId="2853DB1C" w14:textId="6EED0555" w:rsidR="00FF5357" w:rsidRPr="00844DC7" w:rsidRDefault="002A2B60" w:rsidP="00535F36">
            <w:pPr>
              <w:spacing w:after="120"/>
              <w:jc w:val="both"/>
              <w:rPr>
                <w:rFonts w:ascii="Times New Roman" w:eastAsiaTheme="minorHAnsi" w:hAnsi="Times New Roman" w:cs="Times New Roman"/>
                <w:sz w:val="24"/>
              </w:rPr>
            </w:pPr>
            <w:r w:rsidRPr="00844DC7">
              <w:rPr>
                <w:rFonts w:ascii="Times New Roman" w:hAnsi="Times New Roman"/>
                <w:b/>
                <w:sz w:val="24"/>
              </w:rPr>
              <w:t>Organismi del settore pubblico non appartenenti alle amministrazioni centrali</w:t>
            </w:r>
          </w:p>
          <w:p w14:paraId="7D529948" w14:textId="15F28325" w:rsidR="00C337F1" w:rsidRPr="00844DC7" w:rsidRDefault="00FF5357" w:rsidP="00535F36">
            <w:pPr>
              <w:spacing w:after="120"/>
              <w:jc w:val="both"/>
              <w:rPr>
                <w:rFonts w:ascii="Times New Roman" w:eastAsiaTheme="minorHAnsi" w:hAnsi="Times New Roman" w:cs="Times New Roman"/>
                <w:sz w:val="24"/>
              </w:rPr>
            </w:pPr>
            <w:r w:rsidRPr="00844DC7">
              <w:rPr>
                <w:rFonts w:ascii="Times New Roman" w:hAnsi="Times New Roman"/>
                <w:sz w:val="24"/>
              </w:rPr>
              <w:t xml:space="preserve">Somma delle esposizioni di cui alle righe EU </w:t>
            </w:r>
            <w:proofErr w:type="gramStart"/>
            <w:r w:rsidRPr="00844DC7">
              <w:rPr>
                <w:rFonts w:ascii="Times New Roman" w:hAnsi="Times New Roman"/>
                <w:sz w:val="24"/>
              </w:rPr>
              <w:t>2a</w:t>
            </w:r>
            <w:proofErr w:type="gramEnd"/>
            <w:r w:rsidRPr="00844DC7">
              <w:rPr>
                <w:rFonts w:ascii="Times New Roman" w:hAnsi="Times New Roman"/>
                <w:sz w:val="24"/>
              </w:rPr>
              <w:t xml:space="preserve"> e EU 2b.</w:t>
            </w:r>
          </w:p>
        </w:tc>
      </w:tr>
      <w:tr w:rsidR="00535F36" w:rsidRPr="00844DC7" w14:paraId="3305E816" w14:textId="77777777" w:rsidTr="5A0D947F">
        <w:trPr>
          <w:trHeight w:val="699"/>
        </w:trPr>
        <w:tc>
          <w:tcPr>
            <w:tcW w:w="1413" w:type="dxa"/>
            <w:shd w:val="clear" w:color="auto" w:fill="auto"/>
          </w:tcPr>
          <w:p w14:paraId="2D1E255D" w14:textId="6DDF26D9"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2a</w:t>
            </w:r>
          </w:p>
        </w:tc>
        <w:tc>
          <w:tcPr>
            <w:tcW w:w="7654" w:type="dxa"/>
            <w:shd w:val="clear" w:color="auto" w:fill="auto"/>
          </w:tcPr>
          <w:p w14:paraId="17AB2AE5" w14:textId="139DE043" w:rsidR="00FF5357"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Amministrazioni regionali o autorità locali</w:t>
            </w:r>
          </w:p>
          <w:p w14:paraId="788C221F" w14:textId="487F5140"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 b), del regolamento (UE) n. 575/2013 e all</w:t>
            </w:r>
            <w:r w:rsidR="00F16DA0" w:rsidRPr="00844DC7">
              <w:rPr>
                <w:rFonts w:ascii="Times New Roman" w:hAnsi="Times New Roman"/>
                <w:sz w:val="24"/>
              </w:rPr>
              <w:t>'</w:t>
            </w:r>
            <w:r w:rsidRPr="00844DC7">
              <w:rPr>
                <w:rFonts w:ascii="Times New Roman" w:hAnsi="Times New Roman"/>
                <w:sz w:val="24"/>
              </w:rPr>
              <w:t>articolo 115, paragrafi -1, 1, 3, 4 e 5, di tale regolamento per le esposizioni soggette al metodo standardizzato</w:t>
            </w:r>
            <w:r w:rsidRPr="00844DC7">
              <w:rPr>
                <w:rFonts w:ascii="Times New Roman" w:hAnsi="Times New Roman"/>
              </w:rPr>
              <w:t xml:space="preserve">. </w:t>
            </w:r>
          </w:p>
        </w:tc>
      </w:tr>
      <w:tr w:rsidR="00535F36" w:rsidRPr="00844DC7" w14:paraId="6406D71A" w14:textId="77777777" w:rsidTr="5A0D947F">
        <w:trPr>
          <w:trHeight w:val="699"/>
        </w:trPr>
        <w:tc>
          <w:tcPr>
            <w:tcW w:w="1413" w:type="dxa"/>
            <w:shd w:val="clear" w:color="auto" w:fill="auto"/>
          </w:tcPr>
          <w:p w14:paraId="0C866ADB" w14:textId="153184B7"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2b</w:t>
            </w:r>
          </w:p>
        </w:tc>
        <w:tc>
          <w:tcPr>
            <w:tcW w:w="7654" w:type="dxa"/>
            <w:shd w:val="clear" w:color="auto" w:fill="auto"/>
          </w:tcPr>
          <w:p w14:paraId="0E9CAEB2" w14:textId="076DA4A8" w:rsidR="00FF5357" w:rsidRPr="00844DC7" w:rsidRDefault="5682D6C4" w:rsidP="5A0D947F">
            <w:pPr>
              <w:spacing w:after="120"/>
              <w:jc w:val="both"/>
              <w:rPr>
                <w:rFonts w:ascii="Times New Roman" w:hAnsi="Times New Roman" w:cs="Times New Roman"/>
                <w:sz w:val="24"/>
              </w:rPr>
            </w:pPr>
            <w:r w:rsidRPr="00844DC7">
              <w:rPr>
                <w:rFonts w:ascii="Times New Roman" w:hAnsi="Times New Roman"/>
                <w:b/>
                <w:sz w:val="24"/>
              </w:rPr>
              <w:t>Organismi del settore pubblico</w:t>
            </w:r>
            <w:r w:rsidRPr="00844DC7">
              <w:rPr>
                <w:rFonts w:ascii="Times New Roman" w:hAnsi="Times New Roman"/>
                <w:sz w:val="24"/>
              </w:rPr>
              <w:t xml:space="preserve"> </w:t>
            </w:r>
          </w:p>
          <w:p w14:paraId="1BBE065D" w14:textId="123E614F"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 4, paragrafo 1, punto 8, del regolamento (UE) n. 575/2013 e all</w:t>
            </w:r>
            <w:r w:rsidR="00F16DA0" w:rsidRPr="00844DC7">
              <w:rPr>
                <w:rFonts w:ascii="Times New Roman" w:hAnsi="Times New Roman"/>
                <w:sz w:val="24"/>
              </w:rPr>
              <w:t>'</w:t>
            </w:r>
            <w:r w:rsidRPr="00844DC7">
              <w:rPr>
                <w:rFonts w:ascii="Times New Roman" w:hAnsi="Times New Roman"/>
                <w:sz w:val="24"/>
              </w:rPr>
              <w:t>articolo 112, lettera c), e all</w:t>
            </w:r>
            <w:r w:rsidR="00F16DA0" w:rsidRPr="00844DC7">
              <w:rPr>
                <w:rFonts w:ascii="Times New Roman" w:hAnsi="Times New Roman"/>
                <w:sz w:val="24"/>
              </w:rPr>
              <w:t>'</w:t>
            </w:r>
            <w:r w:rsidRPr="00844DC7">
              <w:rPr>
                <w:rFonts w:ascii="Times New Roman" w:hAnsi="Times New Roman"/>
                <w:sz w:val="24"/>
              </w:rPr>
              <w:t>articolo 116, paragrafi 1, 2, 3, 4 e 5, di tale regolamento per le esposizioni soggette al metodo standardizzato.</w:t>
            </w:r>
          </w:p>
        </w:tc>
      </w:tr>
      <w:tr w:rsidR="00535F36" w:rsidRPr="00844DC7" w14:paraId="273E3177" w14:textId="77777777" w:rsidTr="5A0D947F">
        <w:trPr>
          <w:trHeight w:val="699"/>
        </w:trPr>
        <w:tc>
          <w:tcPr>
            <w:tcW w:w="1413" w:type="dxa"/>
            <w:shd w:val="clear" w:color="auto" w:fill="auto"/>
          </w:tcPr>
          <w:p w14:paraId="265F0472" w14:textId="1D4E7D2F"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6</w:t>
            </w:r>
          </w:p>
        </w:tc>
        <w:tc>
          <w:tcPr>
            <w:tcW w:w="7654" w:type="dxa"/>
            <w:shd w:val="clear" w:color="auto" w:fill="auto"/>
          </w:tcPr>
          <w:p w14:paraId="78704303" w14:textId="1DA2D51A" w:rsidR="00FF5357" w:rsidRPr="00844DC7" w:rsidRDefault="5682D6C4" w:rsidP="5A0D947F">
            <w:pPr>
              <w:spacing w:after="120"/>
              <w:jc w:val="both"/>
              <w:rPr>
                <w:rFonts w:ascii="Times New Roman" w:hAnsi="Times New Roman" w:cs="Times New Roman"/>
                <w:sz w:val="24"/>
              </w:rPr>
            </w:pPr>
            <w:r w:rsidRPr="00844DC7">
              <w:rPr>
                <w:rFonts w:ascii="Times New Roman" w:hAnsi="Times New Roman"/>
                <w:b/>
                <w:sz w:val="24"/>
              </w:rPr>
              <w:t>Esposizioni verso imprese</w:t>
            </w:r>
            <w:r w:rsidRPr="00844DC7">
              <w:rPr>
                <w:rFonts w:ascii="Times New Roman" w:hAnsi="Times New Roman"/>
                <w:sz w:val="24"/>
              </w:rPr>
              <w:t xml:space="preserve"> </w:t>
            </w:r>
          </w:p>
          <w:p w14:paraId="263A5792" w14:textId="5258E817"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g),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122 del regolamento (UE) n. 575/2013.</w:t>
            </w:r>
          </w:p>
        </w:tc>
      </w:tr>
      <w:tr w:rsidR="00535F36" w:rsidRPr="00844DC7" w14:paraId="10225A37" w14:textId="77777777" w:rsidTr="5A0D947F">
        <w:trPr>
          <w:trHeight w:val="699"/>
        </w:trPr>
        <w:tc>
          <w:tcPr>
            <w:tcW w:w="1413" w:type="dxa"/>
            <w:shd w:val="clear" w:color="auto" w:fill="auto"/>
          </w:tcPr>
          <w:p w14:paraId="05AFD83A" w14:textId="41C4FD2E"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6.1</w:t>
            </w:r>
          </w:p>
        </w:tc>
        <w:tc>
          <w:tcPr>
            <w:tcW w:w="7654" w:type="dxa"/>
            <w:shd w:val="clear" w:color="auto" w:fill="auto"/>
          </w:tcPr>
          <w:p w14:paraId="520CB388" w14:textId="38E1D245" w:rsidR="00FF5357" w:rsidRPr="00844DC7" w:rsidRDefault="00FF5357" w:rsidP="5A0D947F">
            <w:pPr>
              <w:spacing w:after="120"/>
              <w:jc w:val="both"/>
              <w:rPr>
                <w:rFonts w:ascii="Times New Roman" w:hAnsi="Times New Roman" w:cs="Times New Roman"/>
                <w:b/>
                <w:bCs/>
                <w:sz w:val="24"/>
              </w:rPr>
            </w:pPr>
            <w:r w:rsidRPr="00844DC7">
              <w:rPr>
                <w:rFonts w:ascii="Times New Roman" w:hAnsi="Times New Roman"/>
                <w:sz w:val="24"/>
              </w:rPr>
              <w:t xml:space="preserve"> </w:t>
            </w:r>
            <w:r w:rsidRPr="00844DC7">
              <w:rPr>
                <w:rFonts w:ascii="Times New Roman" w:hAnsi="Times New Roman"/>
                <w:b/>
                <w:sz w:val="24"/>
              </w:rPr>
              <w:t>Di cui finanziamenti specializzati</w:t>
            </w:r>
          </w:p>
          <w:p w14:paraId="4606DB92" w14:textId="6B8A22D8"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122</w:t>
            </w:r>
            <w:r w:rsidR="000F63A1" w:rsidRPr="00844DC7">
              <w:rPr>
                <w:rFonts w:ascii="Times New Roman" w:hAnsi="Times New Roman"/>
                <w:sz w:val="24"/>
              </w:rPr>
              <w:t> </w:t>
            </w:r>
            <w:r w:rsidRPr="00844DC7">
              <w:rPr>
                <w:rFonts w:ascii="Times New Roman" w:hAnsi="Times New Roman"/>
                <w:sz w:val="24"/>
              </w:rPr>
              <w:t>bis del regolamento (UE) n. 575/2013.</w:t>
            </w:r>
          </w:p>
        </w:tc>
      </w:tr>
      <w:tr w:rsidR="00535F36" w:rsidRPr="00844DC7" w14:paraId="2FFFC133" w14:textId="77777777" w:rsidTr="5A0D947F">
        <w:trPr>
          <w:trHeight w:val="699"/>
        </w:trPr>
        <w:tc>
          <w:tcPr>
            <w:tcW w:w="1413" w:type="dxa"/>
            <w:shd w:val="clear" w:color="auto" w:fill="auto"/>
          </w:tcPr>
          <w:p w14:paraId="10EBB238" w14:textId="1ADD0383"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7</w:t>
            </w:r>
          </w:p>
        </w:tc>
        <w:tc>
          <w:tcPr>
            <w:tcW w:w="7654" w:type="dxa"/>
            <w:shd w:val="clear" w:color="auto" w:fill="auto"/>
          </w:tcPr>
          <w:p w14:paraId="47E0CC5E" w14:textId="38F4C285" w:rsidR="00FF5357" w:rsidRPr="00844DC7" w:rsidRDefault="00535F36" w:rsidP="00535F36">
            <w:pPr>
              <w:spacing w:after="120"/>
              <w:jc w:val="both"/>
              <w:rPr>
                <w:rFonts w:ascii="Times New Roman" w:eastAsiaTheme="minorHAnsi" w:hAnsi="Times New Roman" w:cs="Times New Roman"/>
                <w:b/>
                <w:bCs/>
                <w:sz w:val="24"/>
              </w:rPr>
            </w:pPr>
            <w:r w:rsidRPr="00844DC7">
              <w:rPr>
                <w:rFonts w:ascii="Times New Roman" w:hAnsi="Times New Roman"/>
                <w:b/>
                <w:sz w:val="24"/>
              </w:rPr>
              <w:t>Esposizioni da debito subordinato e strumenti di capitale</w:t>
            </w:r>
          </w:p>
          <w:p w14:paraId="3D20D7B3" w14:textId="20D736B2" w:rsidR="00535F36" w:rsidRPr="00844DC7" w:rsidRDefault="00FF5357" w:rsidP="00535F36">
            <w:pPr>
              <w:spacing w:after="120"/>
              <w:jc w:val="both"/>
              <w:rPr>
                <w:rFonts w:ascii="Times New Roman" w:eastAsiaTheme="minorHAnsi" w:hAnsi="Times New Roman" w:cs="Times New Roman"/>
                <w:sz w:val="24"/>
              </w:rPr>
            </w:pPr>
            <w:r w:rsidRPr="00844DC7">
              <w:rPr>
                <w:rFonts w:ascii="Times New Roman" w:hAnsi="Times New Roman"/>
                <w:sz w:val="24"/>
              </w:rPr>
              <w:t xml:space="preserve">Somma delle esposizioni di cui alle righe EU </w:t>
            </w:r>
            <w:proofErr w:type="gramStart"/>
            <w:r w:rsidRPr="00844DC7">
              <w:rPr>
                <w:rFonts w:ascii="Times New Roman" w:hAnsi="Times New Roman"/>
                <w:sz w:val="24"/>
              </w:rPr>
              <w:t>7a</w:t>
            </w:r>
            <w:proofErr w:type="gramEnd"/>
            <w:r w:rsidRPr="00844DC7">
              <w:rPr>
                <w:rFonts w:ascii="Times New Roman" w:hAnsi="Times New Roman"/>
                <w:sz w:val="24"/>
              </w:rPr>
              <w:t xml:space="preserve"> e EU 7b.</w:t>
            </w:r>
          </w:p>
        </w:tc>
      </w:tr>
      <w:tr w:rsidR="00535F36" w:rsidRPr="00844DC7" w14:paraId="18C3B0E5" w14:textId="77777777" w:rsidTr="5A0D947F">
        <w:trPr>
          <w:trHeight w:val="699"/>
        </w:trPr>
        <w:tc>
          <w:tcPr>
            <w:tcW w:w="1413" w:type="dxa"/>
            <w:shd w:val="clear" w:color="auto" w:fill="auto"/>
          </w:tcPr>
          <w:p w14:paraId="01A38CD6" w14:textId="4158C34A"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7a</w:t>
            </w:r>
          </w:p>
        </w:tc>
        <w:tc>
          <w:tcPr>
            <w:tcW w:w="7654" w:type="dxa"/>
            <w:shd w:val="clear" w:color="auto" w:fill="auto"/>
          </w:tcPr>
          <w:p w14:paraId="235943EF" w14:textId="7B59FDFD" w:rsidR="00FF5357"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Esposizioni da debito subordinato</w:t>
            </w:r>
          </w:p>
          <w:p w14:paraId="7A5E8FE8" w14:textId="13501117"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k),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128 del regolamento (UE) n. 575/2013.</w:t>
            </w:r>
          </w:p>
        </w:tc>
      </w:tr>
      <w:tr w:rsidR="00535F36" w:rsidRPr="00844DC7" w14:paraId="66F33C3B" w14:textId="77777777" w:rsidTr="5A0D947F">
        <w:trPr>
          <w:trHeight w:val="699"/>
        </w:trPr>
        <w:tc>
          <w:tcPr>
            <w:tcW w:w="1413" w:type="dxa"/>
            <w:shd w:val="clear" w:color="auto" w:fill="auto"/>
          </w:tcPr>
          <w:p w14:paraId="2665F8B7" w14:textId="5328C121"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7b</w:t>
            </w:r>
          </w:p>
        </w:tc>
        <w:tc>
          <w:tcPr>
            <w:tcW w:w="7654" w:type="dxa"/>
            <w:shd w:val="clear" w:color="auto" w:fill="auto"/>
          </w:tcPr>
          <w:p w14:paraId="3BED8548" w14:textId="18A49974" w:rsidR="00FF5357"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Strumenti di capitale</w:t>
            </w:r>
          </w:p>
          <w:p w14:paraId="31034ED0" w14:textId="561DFB13" w:rsidR="00535F36" w:rsidRPr="00844DC7" w:rsidRDefault="00FF535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p),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133, paragrafo 1, del regolamento (UE) n. 575/2013.</w:t>
            </w:r>
          </w:p>
        </w:tc>
      </w:tr>
      <w:tr w:rsidR="00535F36" w:rsidRPr="00844DC7" w14:paraId="19C205C7" w14:textId="77777777" w:rsidTr="5A0D947F">
        <w:trPr>
          <w:trHeight w:val="699"/>
        </w:trPr>
        <w:tc>
          <w:tcPr>
            <w:tcW w:w="1413" w:type="dxa"/>
            <w:shd w:val="clear" w:color="auto" w:fill="auto"/>
          </w:tcPr>
          <w:p w14:paraId="778DE6F5" w14:textId="772D6892"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w:t>
            </w:r>
          </w:p>
        </w:tc>
        <w:tc>
          <w:tcPr>
            <w:tcW w:w="7654" w:type="dxa"/>
            <w:shd w:val="clear" w:color="auto" w:fill="auto"/>
          </w:tcPr>
          <w:p w14:paraId="1AD83094" w14:textId="3714119C" w:rsidR="007F1438"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Esposizioni garantite da ipoteche su beni immobili ed esposizioni ADC</w:t>
            </w:r>
          </w:p>
          <w:p w14:paraId="01108BAD" w14:textId="7A5AFF94" w:rsidR="00535F36" w:rsidRPr="00844DC7" w:rsidRDefault="007F1438" w:rsidP="5A0D947F">
            <w:pPr>
              <w:spacing w:after="120"/>
              <w:jc w:val="both"/>
              <w:rPr>
                <w:rFonts w:ascii="Times New Roman" w:hAnsi="Times New Roman" w:cs="Times New Roman"/>
                <w:sz w:val="24"/>
              </w:rPr>
            </w:pPr>
            <w:r w:rsidRPr="00844DC7">
              <w:rPr>
                <w:rFonts w:ascii="Times New Roman" w:hAnsi="Times New Roman"/>
                <w:sz w:val="24"/>
              </w:rPr>
              <w:t>In questa riga sono segnalate le esposizioni garantite da immobili di cui all</w:t>
            </w:r>
            <w:r w:rsidR="00F16DA0" w:rsidRPr="00844DC7">
              <w:rPr>
                <w:rFonts w:ascii="Times New Roman" w:hAnsi="Times New Roman"/>
                <w:sz w:val="24"/>
              </w:rPr>
              <w:t>'</w:t>
            </w:r>
            <w:r w:rsidRPr="00844DC7">
              <w:rPr>
                <w:rFonts w:ascii="Times New Roman" w:hAnsi="Times New Roman"/>
                <w:sz w:val="24"/>
              </w:rPr>
              <w:t xml:space="preserve">articolo 4, paragrafo 1, punti da 75 a 75 septies, del regolamento (UE) </w:t>
            </w:r>
            <w:r w:rsidRPr="00844DC7">
              <w:rPr>
                <w:rFonts w:ascii="Times New Roman" w:hAnsi="Times New Roman"/>
                <w:sz w:val="24"/>
              </w:rPr>
              <w:lastRenderedPageBreak/>
              <w:t>n. 575/2013 e le esposizioni quali definite all</w:t>
            </w:r>
            <w:r w:rsidR="00F16DA0" w:rsidRPr="00844DC7">
              <w:rPr>
                <w:rFonts w:ascii="Times New Roman" w:hAnsi="Times New Roman"/>
                <w:sz w:val="24"/>
              </w:rPr>
              <w:t>'</w:t>
            </w:r>
            <w:r w:rsidRPr="00844DC7">
              <w:rPr>
                <w:rFonts w:ascii="Times New Roman" w:hAnsi="Times New Roman"/>
                <w:sz w:val="24"/>
              </w:rPr>
              <w:t xml:space="preserve">articolo 4, paragrafo 1, punto 78 bis, di tale regolamento. </w:t>
            </w:r>
          </w:p>
          <w:p w14:paraId="19E24D73" w14:textId="6A0F3423" w:rsidR="00D60B05" w:rsidRPr="00844DC7" w:rsidRDefault="00D60B05" w:rsidP="00535F36">
            <w:pPr>
              <w:spacing w:after="120"/>
              <w:jc w:val="both"/>
              <w:rPr>
                <w:rFonts w:ascii="Times New Roman" w:eastAsiaTheme="minorHAnsi" w:hAnsi="Times New Roman" w:cs="Times New Roman"/>
                <w:sz w:val="24"/>
              </w:rPr>
            </w:pPr>
            <w:r w:rsidRPr="00844DC7">
              <w:rPr>
                <w:rFonts w:ascii="Times New Roman" w:hAnsi="Times New Roman"/>
                <w:sz w:val="24"/>
              </w:rPr>
              <w:t xml:space="preserve">Questa riga è la somma delle righe 9.1; 9.2; 9.3; 9.4 e 9.5. </w:t>
            </w:r>
          </w:p>
        </w:tc>
      </w:tr>
      <w:tr w:rsidR="00535F36" w:rsidRPr="00844DC7" w14:paraId="02ECFA10" w14:textId="77777777" w:rsidTr="5A0D947F">
        <w:trPr>
          <w:trHeight w:val="699"/>
        </w:trPr>
        <w:tc>
          <w:tcPr>
            <w:tcW w:w="1413" w:type="dxa"/>
            <w:shd w:val="clear" w:color="auto" w:fill="auto"/>
          </w:tcPr>
          <w:p w14:paraId="64CD7987" w14:textId="5265FA6A"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lastRenderedPageBreak/>
              <w:t>9.1</w:t>
            </w:r>
          </w:p>
        </w:tc>
        <w:tc>
          <w:tcPr>
            <w:tcW w:w="7654" w:type="dxa"/>
            <w:shd w:val="clear" w:color="auto" w:fill="auto"/>
          </w:tcPr>
          <w:p w14:paraId="767946BA" w14:textId="58967BCF" w:rsidR="007F1438" w:rsidRPr="00844DC7" w:rsidRDefault="00535F36" w:rsidP="00535F36">
            <w:pPr>
              <w:spacing w:after="120"/>
              <w:jc w:val="both"/>
              <w:rPr>
                <w:rFonts w:ascii="Times New Roman" w:eastAsiaTheme="minorHAnsi" w:hAnsi="Times New Roman" w:cs="Times New Roman"/>
                <w:b/>
                <w:bCs/>
                <w:sz w:val="24"/>
              </w:rPr>
            </w:pPr>
            <w:r w:rsidRPr="00844DC7">
              <w:rPr>
                <w:rFonts w:ascii="Times New Roman" w:hAnsi="Times New Roman"/>
                <w:b/>
                <w:sz w:val="24"/>
              </w:rPr>
              <w:t>Esposizioni garantite da ipoteche su beni immobili residenziali – non</w:t>
            </w:r>
            <w:r w:rsidR="00875C17" w:rsidRPr="00844DC7">
              <w:rPr>
                <w:rFonts w:ascii="Times New Roman" w:hAnsi="Times New Roman"/>
                <w:b/>
                <w:sz w:val="24"/>
              </w:rPr>
              <w:noBreakHyphen/>
            </w:r>
            <w:r w:rsidRPr="00844DC7">
              <w:rPr>
                <w:rFonts w:ascii="Times New Roman" w:hAnsi="Times New Roman"/>
                <w:b/>
                <w:sz w:val="24"/>
              </w:rPr>
              <w:t>IPRE</w:t>
            </w:r>
          </w:p>
          <w:p w14:paraId="4DB2B534" w14:textId="2E5A02EB" w:rsidR="00535F36" w:rsidRPr="00844DC7" w:rsidRDefault="007F1438" w:rsidP="00535F36">
            <w:pPr>
              <w:spacing w:after="120"/>
              <w:jc w:val="both"/>
              <w:rPr>
                <w:rFonts w:ascii="Times New Roman" w:hAnsi="Times New Roman" w:cs="Times New Roman"/>
                <w:bCs/>
                <w:sz w:val="24"/>
              </w:rPr>
            </w:pPr>
            <w:r w:rsidRPr="00844DC7">
              <w:rPr>
                <w:rFonts w:ascii="Times New Roman" w:hAnsi="Times New Roman"/>
                <w:sz w:val="24"/>
              </w:rPr>
              <w:t>In questa riga sono segnalate le esposizioni trattate conformemente all</w:t>
            </w:r>
            <w:r w:rsidR="00F16DA0" w:rsidRPr="00844DC7">
              <w:rPr>
                <w:rFonts w:ascii="Times New Roman" w:hAnsi="Times New Roman"/>
                <w:sz w:val="24"/>
              </w:rPr>
              <w:t>'</w:t>
            </w:r>
            <w:r w:rsidRPr="00844DC7">
              <w:rPr>
                <w:rFonts w:ascii="Times New Roman" w:hAnsi="Times New Roman"/>
                <w:sz w:val="24"/>
              </w:rPr>
              <w:t>articolo 125, paragrafo 1, del regolamento (UE) n. 575/2013.</w:t>
            </w:r>
          </w:p>
          <w:p w14:paraId="39BC2BE6" w14:textId="3A708B7C" w:rsidR="00FD6952" w:rsidRPr="00844DC7" w:rsidRDefault="00FD6952" w:rsidP="00FB64CF">
            <w:pPr>
              <w:spacing w:after="120"/>
              <w:jc w:val="both"/>
              <w:rPr>
                <w:rFonts w:eastAsiaTheme="minorHAnsi"/>
              </w:rPr>
            </w:pPr>
            <w:r w:rsidRPr="00844DC7">
              <w:rPr>
                <w:rFonts w:ascii="Times New Roman" w:hAnsi="Times New Roman"/>
                <w:sz w:val="24"/>
              </w:rPr>
              <w:t>In questa riga sono altresì indicate: le altre esposizioni garantite da ipoteche su immobili residenziali – non-IPRE che non soddisfano le condizioni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1, lettera</w:t>
            </w:r>
            <w:r w:rsidR="000F63A1" w:rsidRPr="00844DC7">
              <w:rPr>
                <w:rFonts w:ascii="Times New Roman" w:hAnsi="Times New Roman"/>
                <w:sz w:val="24"/>
              </w:rPr>
              <w:t> </w:t>
            </w:r>
            <w:r w:rsidRPr="00844DC7">
              <w:rPr>
                <w:rFonts w:ascii="Times New Roman" w:hAnsi="Times New Roman"/>
                <w:sz w:val="24"/>
              </w:rPr>
              <w:t>a), di tale regolamento.</w:t>
            </w:r>
          </w:p>
        </w:tc>
      </w:tr>
      <w:tr w:rsidR="00535F36" w:rsidRPr="00844DC7" w14:paraId="095056BC" w14:textId="77777777" w:rsidTr="5A0D947F">
        <w:trPr>
          <w:trHeight w:val="699"/>
        </w:trPr>
        <w:tc>
          <w:tcPr>
            <w:tcW w:w="1413" w:type="dxa"/>
            <w:shd w:val="clear" w:color="auto" w:fill="auto"/>
          </w:tcPr>
          <w:p w14:paraId="5841F3AE" w14:textId="39B6E246"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9.2</w:t>
            </w:r>
          </w:p>
        </w:tc>
        <w:tc>
          <w:tcPr>
            <w:tcW w:w="7654" w:type="dxa"/>
            <w:shd w:val="clear" w:color="auto" w:fill="auto"/>
          </w:tcPr>
          <w:p w14:paraId="0A4DA91A" w14:textId="6039BA7A" w:rsidR="007F1438"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Esposizioni garantite da ipoteche su beni immobili residenziali – IPRE</w:t>
            </w:r>
          </w:p>
          <w:p w14:paraId="683E626E" w14:textId="007A7157" w:rsidR="00535F36" w:rsidRPr="00844DC7" w:rsidRDefault="007F1438" w:rsidP="5A0D947F">
            <w:pPr>
              <w:spacing w:after="120"/>
              <w:jc w:val="both"/>
              <w:rPr>
                <w:rFonts w:ascii="Times New Roman" w:hAnsi="Times New Roman" w:cs="Times New Roman"/>
                <w:sz w:val="24"/>
              </w:rPr>
            </w:pPr>
            <w:r w:rsidRPr="00844DC7">
              <w:rPr>
                <w:rFonts w:ascii="Times New Roman" w:hAnsi="Times New Roman"/>
                <w:sz w:val="24"/>
              </w:rPr>
              <w:t>In questa riga sono unicamente segnalate: le esposizioni rientranti nella definizione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4, paragrafo</w:t>
            </w:r>
            <w:r w:rsidR="000F63A1" w:rsidRPr="00844DC7">
              <w:rPr>
                <w:rFonts w:ascii="Times New Roman" w:hAnsi="Times New Roman"/>
                <w:sz w:val="24"/>
              </w:rPr>
              <w:t> </w:t>
            </w:r>
            <w:r w:rsidRPr="00844DC7">
              <w:rPr>
                <w:rFonts w:ascii="Times New Roman" w:hAnsi="Times New Roman"/>
                <w:sz w:val="24"/>
              </w:rPr>
              <w:t>1, punto</w:t>
            </w:r>
            <w:r w:rsidR="000F63A1" w:rsidRPr="00844DC7">
              <w:rPr>
                <w:rFonts w:ascii="Times New Roman" w:hAnsi="Times New Roman"/>
                <w:sz w:val="24"/>
              </w:rPr>
              <w:t> </w:t>
            </w:r>
            <w:r w:rsidRPr="00844DC7">
              <w:rPr>
                <w:rFonts w:ascii="Times New Roman" w:hAnsi="Times New Roman"/>
                <w:sz w:val="24"/>
              </w:rPr>
              <w:t>75 ter, del regolamento (UE) n. 575/2013, comprese le esposizioni IPRE che soddisfano una qualsiasi delle condizioni di cui all</w:t>
            </w:r>
            <w:r w:rsidR="00F16DA0" w:rsidRPr="00844DC7">
              <w:rPr>
                <w:rFonts w:ascii="Times New Roman" w:hAnsi="Times New Roman"/>
                <w:sz w:val="24"/>
              </w:rPr>
              <w:t>'</w:t>
            </w:r>
            <w:r w:rsidRPr="00844DC7">
              <w:rPr>
                <w:rFonts w:ascii="Times New Roman" w:hAnsi="Times New Roman"/>
                <w:sz w:val="24"/>
              </w:rPr>
              <w:t>articolo 124, paragrafo 2, lettera a), punto ii), punti da 1) a 4), di tale regolamento; le esposizioni IPRE cui si applica la deroga di cui all</w:t>
            </w:r>
            <w:r w:rsidR="00F16DA0" w:rsidRPr="00844DC7">
              <w:rPr>
                <w:rFonts w:ascii="Times New Roman" w:hAnsi="Times New Roman"/>
                <w:sz w:val="24"/>
              </w:rPr>
              <w:t>'</w:t>
            </w:r>
            <w:r w:rsidRPr="00844DC7">
              <w:rPr>
                <w:rFonts w:ascii="Times New Roman" w:hAnsi="Times New Roman"/>
                <w:sz w:val="24"/>
              </w:rPr>
              <w:t>articolo 125, paragrafo 2, del regolamento (UE) n. 575/2013.</w:t>
            </w:r>
          </w:p>
          <w:p w14:paraId="752E3912" w14:textId="6447D390" w:rsidR="00900E99" w:rsidRPr="00844DC7" w:rsidRDefault="00900E99" w:rsidP="5A0D947F">
            <w:pPr>
              <w:spacing w:after="120"/>
              <w:jc w:val="both"/>
              <w:rPr>
                <w:rFonts w:ascii="Times New Roman" w:hAnsi="Times New Roman" w:cs="Times New Roman"/>
                <w:sz w:val="24"/>
              </w:rPr>
            </w:pPr>
            <w:r w:rsidRPr="00844DC7">
              <w:rPr>
                <w:rFonts w:ascii="Times New Roman" w:hAnsi="Times New Roman"/>
                <w:sz w:val="24"/>
              </w:rPr>
              <w:t>In questa riga sono altresì indicate le altre esposizioni garantite da ipoteche su immobili residenziali – IPRE che non soddisfano le condizioni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1, lettera</w:t>
            </w:r>
            <w:r w:rsidR="000F63A1" w:rsidRPr="00844DC7">
              <w:rPr>
                <w:rFonts w:ascii="Times New Roman" w:hAnsi="Times New Roman"/>
                <w:sz w:val="24"/>
              </w:rPr>
              <w:t> </w:t>
            </w:r>
            <w:r w:rsidRPr="00844DC7">
              <w:rPr>
                <w:rFonts w:ascii="Times New Roman" w:hAnsi="Times New Roman"/>
                <w:sz w:val="24"/>
              </w:rPr>
              <w:t>b), di tale regolamento.</w:t>
            </w:r>
          </w:p>
        </w:tc>
      </w:tr>
      <w:tr w:rsidR="00535F36" w:rsidRPr="00844DC7" w14:paraId="52BA9448" w14:textId="77777777" w:rsidTr="5A0D947F">
        <w:trPr>
          <w:trHeight w:val="699"/>
        </w:trPr>
        <w:tc>
          <w:tcPr>
            <w:tcW w:w="1413" w:type="dxa"/>
            <w:shd w:val="clear" w:color="auto" w:fill="auto"/>
          </w:tcPr>
          <w:p w14:paraId="6A1C330D" w14:textId="5A3E34A5"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9.3</w:t>
            </w:r>
          </w:p>
        </w:tc>
        <w:tc>
          <w:tcPr>
            <w:tcW w:w="7654" w:type="dxa"/>
            <w:shd w:val="clear" w:color="auto" w:fill="auto"/>
          </w:tcPr>
          <w:p w14:paraId="4E2BB22E" w14:textId="65455CC2" w:rsidR="007F1438" w:rsidRPr="00844DC7" w:rsidRDefault="00535F36" w:rsidP="00535F36">
            <w:pPr>
              <w:spacing w:after="120"/>
              <w:jc w:val="both"/>
              <w:rPr>
                <w:rFonts w:ascii="Times New Roman" w:eastAsiaTheme="minorHAnsi" w:hAnsi="Times New Roman" w:cs="Times New Roman"/>
                <w:b/>
                <w:bCs/>
                <w:sz w:val="24"/>
              </w:rPr>
            </w:pPr>
            <w:r w:rsidRPr="00844DC7">
              <w:rPr>
                <w:rFonts w:ascii="Times New Roman" w:hAnsi="Times New Roman"/>
                <w:b/>
                <w:sz w:val="24"/>
              </w:rPr>
              <w:t xml:space="preserve">Esposizioni garantite da ipoteche su immobili non residenziali – non-IPRE </w:t>
            </w:r>
          </w:p>
          <w:p w14:paraId="599BA328" w14:textId="4F300041" w:rsidR="00535F36" w:rsidRPr="00844DC7" w:rsidRDefault="007F1438" w:rsidP="00535F36">
            <w:pPr>
              <w:spacing w:after="120"/>
              <w:jc w:val="both"/>
              <w:rPr>
                <w:rFonts w:ascii="Times New Roman" w:hAnsi="Times New Roman" w:cs="Times New Roman"/>
                <w:bCs/>
                <w:sz w:val="24"/>
              </w:rPr>
            </w:pPr>
            <w:r w:rsidRPr="00844DC7">
              <w:rPr>
                <w:rFonts w:ascii="Times New Roman" w:hAnsi="Times New Roman"/>
                <w:sz w:val="24"/>
              </w:rPr>
              <w:t>In questa riga sono segnalate le esposizioni trattate conformemente all</w:t>
            </w:r>
            <w:r w:rsidR="00F16DA0" w:rsidRPr="00844DC7">
              <w:rPr>
                <w:rFonts w:ascii="Times New Roman" w:hAnsi="Times New Roman"/>
                <w:sz w:val="24"/>
              </w:rPr>
              <w:t>'</w:t>
            </w:r>
            <w:r w:rsidRPr="00844DC7">
              <w:rPr>
                <w:rFonts w:ascii="Times New Roman" w:hAnsi="Times New Roman"/>
                <w:sz w:val="24"/>
              </w:rPr>
              <w:t>articolo 126, paragrafo 1, del regolamento (UE) n. 575/2013.</w:t>
            </w:r>
          </w:p>
          <w:p w14:paraId="56DF61DF" w14:textId="6073C0BB" w:rsidR="00A93447" w:rsidRPr="00844DC7" w:rsidRDefault="00A93447" w:rsidP="00900E99">
            <w:pPr>
              <w:spacing w:after="120"/>
              <w:jc w:val="both"/>
              <w:rPr>
                <w:rFonts w:ascii="Times New Roman" w:eastAsiaTheme="minorHAnsi" w:hAnsi="Times New Roman"/>
                <w:sz w:val="24"/>
              </w:rPr>
            </w:pPr>
            <w:r w:rsidRPr="00844DC7">
              <w:rPr>
                <w:rFonts w:ascii="Times New Roman" w:hAnsi="Times New Roman"/>
                <w:sz w:val="24"/>
              </w:rPr>
              <w:t>In questa riga sono altresì indicate: le altre esposizioni garantite da ipoteche su immobili non residenziali – non-IPRE che non soddisfano le condizioni di cui all</w:t>
            </w:r>
            <w:r w:rsidR="00F16DA0" w:rsidRPr="00844DC7">
              <w:rPr>
                <w:rFonts w:ascii="Times New Roman" w:hAnsi="Times New Roman"/>
                <w:sz w:val="24"/>
              </w:rPr>
              <w:t>'</w:t>
            </w:r>
            <w:r w:rsidRPr="00844DC7">
              <w:rPr>
                <w:rFonts w:ascii="Times New Roman" w:hAnsi="Times New Roman"/>
                <w:sz w:val="24"/>
              </w:rPr>
              <w:t>articolo 124, paragrafo 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w:t>
            </w:r>
            <w:r w:rsidR="00F16DA0" w:rsidRPr="00844DC7">
              <w:rPr>
                <w:rFonts w:ascii="Times New Roman" w:hAnsi="Times New Roman"/>
                <w:sz w:val="24"/>
              </w:rPr>
              <w:t> </w:t>
            </w:r>
            <w:r w:rsidRPr="00844DC7">
              <w:rPr>
                <w:rFonts w:ascii="Times New Roman" w:hAnsi="Times New Roman"/>
                <w:sz w:val="24"/>
              </w:rPr>
              <w:t>1, lettera</w:t>
            </w:r>
            <w:r w:rsidR="00F16DA0" w:rsidRPr="00844DC7">
              <w:rPr>
                <w:rFonts w:ascii="Times New Roman" w:hAnsi="Times New Roman"/>
                <w:sz w:val="24"/>
              </w:rPr>
              <w:t> </w:t>
            </w:r>
            <w:r w:rsidRPr="00844DC7">
              <w:rPr>
                <w:rFonts w:ascii="Times New Roman" w:hAnsi="Times New Roman"/>
                <w:sz w:val="24"/>
              </w:rPr>
              <w:t>a), di tale regolamento.</w:t>
            </w:r>
          </w:p>
        </w:tc>
      </w:tr>
      <w:tr w:rsidR="00535F36" w:rsidRPr="00844DC7" w14:paraId="134726BE" w14:textId="77777777" w:rsidTr="5A0D947F">
        <w:trPr>
          <w:trHeight w:val="699"/>
        </w:trPr>
        <w:tc>
          <w:tcPr>
            <w:tcW w:w="1413" w:type="dxa"/>
            <w:shd w:val="clear" w:color="auto" w:fill="auto"/>
          </w:tcPr>
          <w:p w14:paraId="5AD77A0D" w14:textId="22AC797D" w:rsidR="00535F36" w:rsidRPr="00844DC7" w:rsidRDefault="00535F36"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9.4</w:t>
            </w:r>
          </w:p>
        </w:tc>
        <w:tc>
          <w:tcPr>
            <w:tcW w:w="7654" w:type="dxa"/>
            <w:shd w:val="clear" w:color="auto" w:fill="auto"/>
          </w:tcPr>
          <w:p w14:paraId="606B4A71" w14:textId="586254A3" w:rsidR="00FB4914" w:rsidRPr="00844DC7" w:rsidRDefault="5682D6C4" w:rsidP="5A0D947F">
            <w:pPr>
              <w:spacing w:after="120"/>
              <w:jc w:val="both"/>
              <w:rPr>
                <w:rFonts w:ascii="Times New Roman" w:hAnsi="Times New Roman" w:cs="Times New Roman"/>
                <w:b/>
                <w:bCs/>
                <w:sz w:val="24"/>
              </w:rPr>
            </w:pPr>
            <w:r w:rsidRPr="00844DC7">
              <w:rPr>
                <w:rFonts w:ascii="Times New Roman" w:hAnsi="Times New Roman"/>
                <w:b/>
                <w:sz w:val="24"/>
              </w:rPr>
              <w:t>Esposizioni garantite da ipoteche su immobili non residenziali – IPRE</w:t>
            </w:r>
          </w:p>
          <w:p w14:paraId="570AD855" w14:textId="11640C76" w:rsidR="00535F36" w:rsidRPr="00844DC7" w:rsidRDefault="00FB4914" w:rsidP="5A0D947F">
            <w:pPr>
              <w:spacing w:after="120"/>
              <w:jc w:val="both"/>
              <w:rPr>
                <w:rFonts w:ascii="Times New Roman" w:hAnsi="Times New Roman" w:cs="Times New Roman"/>
                <w:sz w:val="24"/>
              </w:rPr>
            </w:pPr>
            <w:r w:rsidRPr="00844DC7">
              <w:rPr>
                <w:rFonts w:ascii="Times New Roman" w:hAnsi="Times New Roman"/>
                <w:sz w:val="24"/>
              </w:rPr>
              <w:t>In questa riga sono segnalate le esposizioni rientranti nella definizione di cui all</w:t>
            </w:r>
            <w:r w:rsidR="00F16DA0" w:rsidRPr="00844DC7">
              <w:rPr>
                <w:rFonts w:ascii="Times New Roman" w:hAnsi="Times New Roman"/>
                <w:sz w:val="24"/>
              </w:rPr>
              <w:t>'</w:t>
            </w:r>
            <w:r w:rsidRPr="00844DC7">
              <w:rPr>
                <w:rFonts w:ascii="Times New Roman" w:hAnsi="Times New Roman"/>
                <w:sz w:val="24"/>
              </w:rPr>
              <w:t>articolo 4, paragrafo 1, punto 75 ter), e di cui all</w:t>
            </w:r>
            <w:r w:rsidR="00F16DA0" w:rsidRPr="00844DC7">
              <w:rPr>
                <w:rFonts w:ascii="Times New Roman" w:hAnsi="Times New Roman"/>
                <w:sz w:val="24"/>
              </w:rPr>
              <w:t>'</w:t>
            </w:r>
            <w:r w:rsidRPr="00844DC7">
              <w:rPr>
                <w:rFonts w:ascii="Times New Roman" w:hAnsi="Times New Roman"/>
                <w:sz w:val="24"/>
              </w:rPr>
              <w:t>articolo 124, paragrafo 2, lettera</w:t>
            </w:r>
            <w:r w:rsidR="000F63A1" w:rsidRPr="00844DC7">
              <w:rPr>
                <w:rFonts w:ascii="Times New Roman" w:hAnsi="Times New Roman"/>
                <w:sz w:val="24"/>
              </w:rPr>
              <w:t> </w:t>
            </w:r>
            <w:r w:rsidRPr="00844DC7">
              <w:rPr>
                <w:rFonts w:ascii="Times New Roman" w:hAnsi="Times New Roman"/>
                <w:sz w:val="24"/>
              </w:rPr>
              <w:t>b), punto</w:t>
            </w:r>
            <w:r w:rsidR="000F63A1" w:rsidRPr="00844DC7">
              <w:rPr>
                <w:rFonts w:ascii="Times New Roman" w:hAnsi="Times New Roman"/>
                <w:sz w:val="24"/>
              </w:rPr>
              <w:t> </w:t>
            </w:r>
            <w:r w:rsidRPr="00844DC7">
              <w:rPr>
                <w:rFonts w:ascii="Times New Roman" w:hAnsi="Times New Roman"/>
                <w:sz w:val="24"/>
              </w:rPr>
              <w:t>ii), del regolamento (UE) n. 575/2013, comprese le esposizioni IPRE cui si applica la deroga di cui all</w:t>
            </w:r>
            <w:r w:rsidR="00F16DA0" w:rsidRPr="00844DC7">
              <w:rPr>
                <w:rFonts w:ascii="Times New Roman" w:hAnsi="Times New Roman"/>
                <w:sz w:val="24"/>
              </w:rPr>
              <w:t>'</w:t>
            </w:r>
            <w:r w:rsidRPr="00844DC7">
              <w:rPr>
                <w:rFonts w:ascii="Times New Roman" w:hAnsi="Times New Roman"/>
                <w:sz w:val="24"/>
              </w:rPr>
              <w:t>articolo 126, paragrafo 2, di tale regolamento.</w:t>
            </w:r>
          </w:p>
          <w:p w14:paraId="17723425" w14:textId="1C1D820F" w:rsidR="00900E99" w:rsidRPr="00844DC7" w:rsidRDefault="00900E99" w:rsidP="5A0D947F">
            <w:pPr>
              <w:spacing w:after="120"/>
              <w:jc w:val="both"/>
              <w:rPr>
                <w:rFonts w:ascii="Times New Roman" w:hAnsi="Times New Roman" w:cs="Times New Roman"/>
                <w:sz w:val="24"/>
              </w:rPr>
            </w:pPr>
            <w:r w:rsidRPr="00844DC7">
              <w:rPr>
                <w:rFonts w:ascii="Times New Roman" w:hAnsi="Times New Roman"/>
                <w:sz w:val="24"/>
              </w:rPr>
              <w:t xml:space="preserve">In questa riga sono altresì indicate le altre esposizioni garantite da ipoteche su immobili non residenziali – IPRE che non soddisfano le condizioni di cui </w:t>
            </w:r>
            <w:r w:rsidRPr="00844DC7">
              <w:rPr>
                <w:rFonts w:ascii="Times New Roman" w:hAnsi="Times New Roman"/>
                <w:sz w:val="24"/>
              </w:rPr>
              <w:lastRenderedPageBreak/>
              <w:t>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1, lettera</w:t>
            </w:r>
            <w:r w:rsidR="000F63A1" w:rsidRPr="00844DC7">
              <w:rPr>
                <w:rFonts w:ascii="Times New Roman" w:hAnsi="Times New Roman"/>
                <w:sz w:val="24"/>
              </w:rPr>
              <w:t> </w:t>
            </w:r>
            <w:r w:rsidRPr="00844DC7">
              <w:rPr>
                <w:rFonts w:ascii="Times New Roman" w:hAnsi="Times New Roman"/>
                <w:sz w:val="24"/>
              </w:rPr>
              <w:t>b), di tale regolamento.</w:t>
            </w:r>
          </w:p>
        </w:tc>
      </w:tr>
      <w:tr w:rsidR="00395831" w:rsidRPr="00844DC7" w14:paraId="49538D8A" w14:textId="77777777" w:rsidTr="00FB64CF">
        <w:trPr>
          <w:trHeight w:val="699"/>
        </w:trPr>
        <w:tc>
          <w:tcPr>
            <w:tcW w:w="1413" w:type="dxa"/>
            <w:shd w:val="clear" w:color="auto" w:fill="D9D9D9" w:themeFill="background1" w:themeFillShade="D9"/>
          </w:tcPr>
          <w:p w14:paraId="63BD0DD8" w14:textId="72A0B6E9" w:rsidR="00395831" w:rsidRPr="00844DC7" w:rsidRDefault="00395831" w:rsidP="00535F3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lastRenderedPageBreak/>
              <w:t>11</w:t>
            </w:r>
          </w:p>
        </w:tc>
        <w:tc>
          <w:tcPr>
            <w:tcW w:w="7654" w:type="dxa"/>
            <w:shd w:val="clear" w:color="auto" w:fill="D9D9D9" w:themeFill="background1" w:themeFillShade="D9"/>
          </w:tcPr>
          <w:p w14:paraId="66C90862" w14:textId="75D35FB5" w:rsidR="00395831" w:rsidRPr="00844DC7" w:rsidRDefault="00395831" w:rsidP="5A0D947F">
            <w:pPr>
              <w:spacing w:after="120"/>
              <w:jc w:val="both"/>
              <w:rPr>
                <w:rFonts w:ascii="Times New Roman" w:hAnsi="Times New Roman" w:cs="Times New Roman"/>
                <w:sz w:val="24"/>
              </w:rPr>
            </w:pPr>
            <w:r w:rsidRPr="00844DC7">
              <w:rPr>
                <w:rFonts w:ascii="Times New Roman" w:hAnsi="Times New Roman"/>
                <w:sz w:val="24"/>
              </w:rPr>
              <w:t>Non applicabile</w:t>
            </w:r>
          </w:p>
        </w:tc>
      </w:tr>
      <w:tr w:rsidR="00395831" w:rsidRPr="00844DC7" w14:paraId="55E3893A" w14:textId="77777777" w:rsidTr="5A0D947F">
        <w:trPr>
          <w:trHeight w:val="558"/>
        </w:trPr>
        <w:tc>
          <w:tcPr>
            <w:tcW w:w="1413" w:type="dxa"/>
          </w:tcPr>
          <w:p w14:paraId="662AB193" w14:textId="4746E76F" w:rsidR="00395831" w:rsidRPr="00844DC7" w:rsidRDefault="00395831">
            <w:pPr>
              <w:spacing w:after="120"/>
              <w:jc w:val="both"/>
              <w:rPr>
                <w:rFonts w:ascii="Times New Roman" w:eastAsia="Times New Roman" w:hAnsi="Times New Roman" w:cs="Times New Roman"/>
                <w:sz w:val="24"/>
              </w:rPr>
            </w:pPr>
            <w:r w:rsidRPr="00844DC7">
              <w:rPr>
                <w:rFonts w:ascii="Times New Roman" w:hAnsi="Times New Roman"/>
                <w:sz w:val="24"/>
              </w:rPr>
              <w:t>12</w:t>
            </w:r>
          </w:p>
        </w:tc>
        <w:tc>
          <w:tcPr>
            <w:tcW w:w="7654" w:type="dxa"/>
          </w:tcPr>
          <w:p w14:paraId="132C0D24" w14:textId="72FB2460" w:rsidR="00395831" w:rsidRPr="00844DC7" w:rsidRDefault="00F16DA0" w:rsidP="00926A01">
            <w:pPr>
              <w:spacing w:after="120"/>
              <w:jc w:val="both"/>
              <w:rPr>
                <w:rFonts w:ascii="Times New Roman" w:hAnsi="Times New Roman" w:cs="Times New Roman"/>
                <w:b/>
                <w:bCs/>
                <w:sz w:val="24"/>
              </w:rPr>
            </w:pPr>
            <w:r w:rsidRPr="00844DC7">
              <w:rPr>
                <w:rFonts w:ascii="Times New Roman" w:hAnsi="Times New Roman"/>
                <w:b/>
                <w:sz w:val="24"/>
              </w:rPr>
              <w:t>"</w:t>
            </w:r>
            <w:r w:rsidR="00395831" w:rsidRPr="00844DC7">
              <w:rPr>
                <w:rFonts w:ascii="Times New Roman" w:hAnsi="Times New Roman"/>
                <w:b/>
                <w:sz w:val="24"/>
              </w:rPr>
              <w:t>Totale</w:t>
            </w:r>
            <w:r w:rsidRPr="00844DC7">
              <w:rPr>
                <w:rFonts w:ascii="Times New Roman" w:hAnsi="Times New Roman"/>
                <w:b/>
                <w:sz w:val="24"/>
              </w:rPr>
              <w:t>"</w:t>
            </w:r>
            <w:r w:rsidR="00395831" w:rsidRPr="00844DC7">
              <w:rPr>
                <w:rFonts w:ascii="Times New Roman" w:hAnsi="Times New Roman"/>
                <w:b/>
                <w:sz w:val="24"/>
              </w:rPr>
              <w:t xml:space="preserve"> </w:t>
            </w:r>
          </w:p>
          <w:p w14:paraId="55987C40" w14:textId="74538114" w:rsidR="00395831" w:rsidRPr="00844DC7" w:rsidRDefault="00395831" w:rsidP="5A0D947F">
            <w:pPr>
              <w:spacing w:after="120"/>
              <w:jc w:val="both"/>
              <w:rPr>
                <w:rFonts w:ascii="Times New Roman" w:hAnsi="Times New Roman" w:cs="Times New Roman"/>
                <w:sz w:val="24"/>
              </w:rPr>
            </w:pPr>
            <w:r w:rsidRPr="00844DC7">
              <w:rPr>
                <w:rFonts w:ascii="Times New Roman" w:hAnsi="Times New Roman"/>
                <w:sz w:val="24"/>
              </w:rPr>
              <w:t xml:space="preserve">Somma delle esposizioni di cui alle righe 1, 2, 3, EU </w:t>
            </w:r>
            <w:proofErr w:type="gramStart"/>
            <w:r w:rsidRPr="00844DC7">
              <w:rPr>
                <w:rFonts w:ascii="Times New Roman" w:hAnsi="Times New Roman"/>
                <w:sz w:val="24"/>
              </w:rPr>
              <w:t>3a</w:t>
            </w:r>
            <w:proofErr w:type="gramEnd"/>
            <w:r w:rsidRPr="00844DC7">
              <w:rPr>
                <w:rFonts w:ascii="Times New Roman" w:hAnsi="Times New Roman"/>
                <w:sz w:val="24"/>
              </w:rPr>
              <w:t>, 4, 5, 6, 7, 8, 9, 10, EU 10a, EU 10b, EU 10c sopra citate.</w:t>
            </w:r>
          </w:p>
        </w:tc>
      </w:tr>
    </w:tbl>
    <w:p w14:paraId="137E3992" w14:textId="77777777" w:rsidR="0005278F" w:rsidRPr="00844DC7" w:rsidRDefault="0005278F" w:rsidP="0005278F">
      <w:pPr>
        <w:spacing w:after="120"/>
        <w:rPr>
          <w:rFonts w:ascii="Times New Roman" w:hAnsi="Times New Roman" w:cs="Times New Roman"/>
          <w:sz w:val="24"/>
        </w:rPr>
      </w:pPr>
    </w:p>
    <w:p w14:paraId="137E3993" w14:textId="77777777" w:rsidR="0005278F" w:rsidRPr="00844DC7" w:rsidRDefault="0005278F" w:rsidP="0005278F">
      <w:pPr>
        <w:spacing w:after="120"/>
        <w:rPr>
          <w:rFonts w:ascii="Times New Roman" w:hAnsi="Times New Roman" w:cs="Times New Roman"/>
          <w:sz w:val="24"/>
        </w:rPr>
      </w:pPr>
      <w:r w:rsidRPr="00844DC7">
        <w:rPr>
          <w:rFonts w:ascii="Times New Roman" w:hAnsi="Times New Roman"/>
          <w:b/>
          <w:sz w:val="24"/>
        </w:rPr>
        <w:t>Modello EU CR5: metodo standardizzato -</w:t>
      </w:r>
      <w:r w:rsidRPr="00844DC7">
        <w:rPr>
          <w:rFonts w:ascii="Times New Roman" w:hAnsi="Times New Roman"/>
          <w:sz w:val="24"/>
        </w:rPr>
        <w:t xml:space="preserve"> Formato fisso</w:t>
      </w:r>
    </w:p>
    <w:p w14:paraId="137E3994" w14:textId="207A6F11" w:rsidR="0005278F" w:rsidRPr="00844DC7" w:rsidRDefault="0005278F" w:rsidP="5A0D947F">
      <w:pPr>
        <w:pStyle w:val="ListParagraph"/>
        <w:numPr>
          <w:ilvl w:val="0"/>
          <w:numId w:val="1"/>
        </w:numPr>
        <w:spacing w:after="120"/>
        <w:ind w:left="425" w:hanging="357"/>
        <w:jc w:val="both"/>
        <w:rPr>
          <w:rFonts w:ascii="Times New Roman" w:hAnsi="Times New Roman"/>
          <w:sz w:val="24"/>
          <w:szCs w:val="24"/>
        </w:rPr>
      </w:pPr>
      <w:r w:rsidRPr="00844DC7">
        <w:rPr>
          <w:rFonts w:ascii="Times New Roman" w:hAnsi="Times New Roman"/>
          <w:sz w:val="24"/>
        </w:rPr>
        <w:t>Gli enti pubblicano le informazioni di cui all</w:t>
      </w:r>
      <w:r w:rsidR="00F16DA0" w:rsidRPr="00844DC7">
        <w:rPr>
          <w:rFonts w:ascii="Times New Roman" w:hAnsi="Times New Roman"/>
          <w:sz w:val="24"/>
        </w:rPr>
        <w:t>'</w:t>
      </w:r>
      <w:r w:rsidRPr="00844DC7">
        <w:rPr>
          <w:rFonts w:ascii="Times New Roman" w:hAnsi="Times New Roman"/>
          <w:sz w:val="24"/>
        </w:rPr>
        <w:t xml:space="preserve">articolo 444, lettera e), del </w:t>
      </w:r>
      <w:r w:rsidRPr="00844DC7">
        <w:rPr>
          <w:rFonts w:ascii="Times New Roman" w:hAnsi="Times New Roman"/>
          <w:color w:val="000000" w:themeColor="text1"/>
          <w:sz w:val="24"/>
        </w:rPr>
        <w:t>regolamento (UE) n. 575/2013</w:t>
      </w:r>
      <w:r w:rsidRPr="00844DC7">
        <w:rPr>
          <w:rFonts w:ascii="Times New Roman" w:hAnsi="Times New Roman"/>
        </w:rPr>
        <w:t xml:space="preserve"> </w:t>
      </w:r>
      <w:r w:rsidRPr="00844DC7">
        <w:rPr>
          <w:rFonts w:ascii="Times New Roman" w:hAnsi="Times New Roman"/>
          <w:sz w:val="24"/>
        </w:rPr>
        <w:t>seguendo le istruzioni fornite di seguito nel presente allegato per compilare il modello EU CR5 di cui all</w:t>
      </w:r>
      <w:r w:rsidR="00F16DA0" w:rsidRPr="00844DC7">
        <w:rPr>
          <w:rFonts w:ascii="Times New Roman" w:hAnsi="Times New Roman"/>
          <w:sz w:val="24"/>
        </w:rPr>
        <w:t>'</w:t>
      </w:r>
      <w:r w:rsidRPr="00844DC7">
        <w:rPr>
          <w:rFonts w:ascii="Times New Roman" w:hAnsi="Times New Roman"/>
          <w:sz w:val="24"/>
        </w:rPr>
        <w:t>allegato XIX delle soluzioni informatiche dell</w:t>
      </w:r>
      <w:r w:rsidR="00F16DA0" w:rsidRPr="00844DC7">
        <w:rPr>
          <w:rFonts w:ascii="Times New Roman" w:hAnsi="Times New Roman"/>
          <w:sz w:val="24"/>
        </w:rPr>
        <w:t>'</w:t>
      </w:r>
      <w:r w:rsidRPr="00844DC7">
        <w:rPr>
          <w:rFonts w:ascii="Times New Roman" w:hAnsi="Times New Roman"/>
          <w:sz w:val="24"/>
        </w:rPr>
        <w:t>ABE.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844DC7"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844DC7" w:rsidRDefault="0005278F" w:rsidP="000F63A1">
            <w:pPr>
              <w:autoSpaceDE w:val="0"/>
              <w:autoSpaceDN w:val="0"/>
              <w:adjustRightInd w:val="0"/>
              <w:spacing w:after="120"/>
              <w:ind w:right="-136"/>
              <w:rPr>
                <w:rFonts w:ascii="Times New Roman" w:hAnsi="Times New Roman" w:cs="Times New Roman"/>
                <w:b/>
                <w:sz w:val="24"/>
              </w:rPr>
            </w:pPr>
            <w:r w:rsidRPr="00844DC7">
              <w:rPr>
                <w:rFonts w:ascii="Times New Roman" w:hAnsi="Times New Roman"/>
                <w:b/>
                <w:sz w:val="24"/>
              </w:rPr>
              <w:t>Riferimento della colonna</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Riferimenti giuridici e istruzioni</w:t>
            </w:r>
          </w:p>
        </w:tc>
      </w:tr>
      <w:tr w:rsidR="0005278F" w:rsidRPr="00844DC7" w14:paraId="137E399A" w14:textId="77777777" w:rsidTr="5A0D947F">
        <w:trPr>
          <w:trHeight w:val="277"/>
        </w:trPr>
        <w:tc>
          <w:tcPr>
            <w:tcW w:w="1413" w:type="dxa"/>
            <w:vMerge/>
          </w:tcPr>
          <w:p w14:paraId="137E3998" w14:textId="77777777" w:rsidR="0005278F" w:rsidRPr="00844DC7"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844DC7" w:rsidRDefault="0005278F" w:rsidP="004F3087">
            <w:pPr>
              <w:spacing w:after="120"/>
              <w:rPr>
                <w:rFonts w:ascii="Times New Roman" w:hAnsi="Times New Roman" w:cs="Times New Roman"/>
                <w:b/>
                <w:sz w:val="24"/>
              </w:rPr>
            </w:pPr>
            <w:r w:rsidRPr="00844DC7">
              <w:rPr>
                <w:rFonts w:ascii="Times New Roman" w:hAnsi="Times New Roman"/>
                <w:b/>
                <w:sz w:val="24"/>
              </w:rPr>
              <w:t>Spiegazione</w:t>
            </w:r>
          </w:p>
        </w:tc>
      </w:tr>
      <w:tr w:rsidR="0005278F" w:rsidRPr="00844DC7" w14:paraId="137E399E" w14:textId="77777777" w:rsidTr="5A0D947F">
        <w:trPr>
          <w:trHeight w:val="316"/>
        </w:trPr>
        <w:tc>
          <w:tcPr>
            <w:tcW w:w="1413" w:type="dxa"/>
            <w:vAlign w:val="center"/>
          </w:tcPr>
          <w:p w14:paraId="137E399B" w14:textId="22A2BDCD" w:rsidR="0005278F" w:rsidRPr="00844DC7" w:rsidRDefault="0005278F"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a – y</w:t>
            </w:r>
          </w:p>
        </w:tc>
        <w:tc>
          <w:tcPr>
            <w:tcW w:w="7654" w:type="dxa"/>
          </w:tcPr>
          <w:p w14:paraId="137E399C"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 xml:space="preserve">Fattori di ponderazione del rischio: </w:t>
            </w:r>
          </w:p>
          <w:p w14:paraId="137E399D" w14:textId="1E890E7D" w:rsidR="0005278F" w:rsidRPr="00844DC7" w:rsidRDefault="0005278F" w:rsidP="004F3087">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gli enti pubblicano le informazioni sull</w:t>
            </w:r>
            <w:r w:rsidR="00F16DA0" w:rsidRPr="00844DC7">
              <w:rPr>
                <w:rFonts w:ascii="Times New Roman" w:hAnsi="Times New Roman"/>
                <w:sz w:val="24"/>
              </w:rPr>
              <w:t>'</w:t>
            </w:r>
            <w:r w:rsidRPr="00844DC7">
              <w:rPr>
                <w:rFonts w:ascii="Times New Roman" w:hAnsi="Times New Roman"/>
                <w:sz w:val="24"/>
              </w:rPr>
              <w:t>attribuzione dei fattori di ponderazione del rischio all</w:t>
            </w:r>
            <w:r w:rsidR="00F16DA0" w:rsidRPr="00844DC7">
              <w:rPr>
                <w:rFonts w:ascii="Times New Roman" w:hAnsi="Times New Roman"/>
                <w:sz w:val="24"/>
              </w:rPr>
              <w:t>'</w:t>
            </w:r>
            <w:r w:rsidRPr="00844DC7">
              <w:rPr>
                <w:rFonts w:ascii="Times New Roman" w:hAnsi="Times New Roman"/>
                <w:sz w:val="24"/>
              </w:rPr>
              <w:t xml:space="preserve">interno della rispettiva classe di esposizioni conformemente alla parte tre, titolo II, capo 2, sezione 2,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05278F" w:rsidRPr="00844DC7" w14:paraId="137E39A5" w14:textId="77777777" w:rsidTr="5A0D947F">
        <w:trPr>
          <w:trHeight w:val="316"/>
        </w:trPr>
        <w:tc>
          <w:tcPr>
            <w:tcW w:w="1413" w:type="dxa"/>
            <w:vAlign w:val="center"/>
          </w:tcPr>
          <w:p w14:paraId="137E399F" w14:textId="58582E93" w:rsidR="0005278F" w:rsidRPr="00844DC7" w:rsidRDefault="00AF4BEA"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z</w:t>
            </w:r>
          </w:p>
        </w:tc>
        <w:tc>
          <w:tcPr>
            <w:tcW w:w="7654" w:type="dxa"/>
          </w:tcPr>
          <w:p w14:paraId="137E39A0"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 xml:space="preserve">Totale: </w:t>
            </w:r>
          </w:p>
          <w:p w14:paraId="137E39A1" w14:textId="3AC02B8F" w:rsidR="0005278F" w:rsidRPr="00844DC7" w:rsidRDefault="0005278F" w:rsidP="004F3087">
            <w:pPr>
              <w:autoSpaceDE w:val="0"/>
              <w:autoSpaceDN w:val="0"/>
              <w:adjustRightInd w:val="0"/>
              <w:spacing w:after="120"/>
              <w:jc w:val="both"/>
              <w:rPr>
                <w:rFonts w:ascii="Times New Roman" w:eastAsia="Times New Roman" w:hAnsi="Times New Roman" w:cs="Times New Roman"/>
                <w:iCs/>
                <w:sz w:val="24"/>
              </w:rPr>
            </w:pPr>
            <w:r w:rsidRPr="00844DC7">
              <w:rPr>
                <w:rFonts w:ascii="Times New Roman" w:hAnsi="Times New Roman"/>
                <w:sz w:val="24"/>
              </w:rPr>
              <w:t>importo totale delle esposizioni in bilancio e fuori bilancio nell</w:t>
            </w:r>
            <w:r w:rsidR="00F16DA0" w:rsidRPr="00844DC7">
              <w:rPr>
                <w:rFonts w:ascii="Times New Roman" w:hAnsi="Times New Roman"/>
                <w:sz w:val="24"/>
              </w:rPr>
              <w:t>'</w:t>
            </w:r>
            <w:r w:rsidRPr="00844DC7">
              <w:rPr>
                <w:rFonts w:ascii="Times New Roman" w:hAnsi="Times New Roman"/>
                <w:sz w:val="24"/>
              </w:rPr>
              <w:t xml:space="preserve">ambito del consolidamento prudenziale: </w:t>
            </w:r>
          </w:p>
          <w:p w14:paraId="137E39A2" w14:textId="7E3A2CFF"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 dopo l</w:t>
            </w:r>
            <w:r w:rsidR="00F16DA0" w:rsidRPr="00844DC7">
              <w:rPr>
                <w:rFonts w:ascii="Times New Roman" w:hAnsi="Times New Roman"/>
                <w:sz w:val="24"/>
              </w:rPr>
              <w:t>'</w:t>
            </w:r>
            <w:r w:rsidRPr="00844DC7">
              <w:rPr>
                <w:rFonts w:ascii="Times New Roman" w:hAnsi="Times New Roman"/>
                <w:sz w:val="24"/>
              </w:rPr>
              <w:t>applicazione delle rettifiche di valore su crediti specifiche conformemente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 xml:space="preserve">110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delle rettifiche di valore supplementari conformemente agli articoli 34 e 105 del </w:t>
            </w:r>
            <w:r w:rsidRPr="00844DC7">
              <w:rPr>
                <w:rFonts w:ascii="Times New Roman" w:hAnsi="Times New Roman"/>
                <w:color w:val="000000" w:themeColor="text1"/>
                <w:sz w:val="24"/>
              </w:rPr>
              <w:t>regolamento (UE) n. 575/2013</w:t>
            </w:r>
            <w:r w:rsidRPr="00844DC7">
              <w:rPr>
                <w:rFonts w:ascii="Times New Roman" w:hAnsi="Times New Roman"/>
                <w:sz w:val="24"/>
              </w:rPr>
              <w:t>, delle deduzioni degli importi ai sensi dell</w:t>
            </w:r>
            <w:r w:rsidR="00F16DA0" w:rsidRPr="00844DC7">
              <w:rPr>
                <w:rFonts w:ascii="Times New Roman" w:hAnsi="Times New Roman"/>
                <w:sz w:val="24"/>
              </w:rPr>
              <w:t>'</w:t>
            </w:r>
            <w:r w:rsidRPr="00844DC7">
              <w:rPr>
                <w:rFonts w:ascii="Times New Roman" w:hAnsi="Times New Roman"/>
                <w:sz w:val="24"/>
              </w:rPr>
              <w:t xml:space="preserve">articolo 36, paragrafo 1, lettera m),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e di altre riduzioni di fondi propri e cancellazioni (quali definite nella disciplina contabile applicabile) per le esposizioni in bilancio, conformemente all</w:t>
            </w:r>
            <w:r w:rsidR="00F16DA0" w:rsidRPr="00844DC7">
              <w:rPr>
                <w:rFonts w:ascii="Times New Roman" w:hAnsi="Times New Roman"/>
                <w:sz w:val="24"/>
              </w:rPr>
              <w:t>'</w:t>
            </w:r>
            <w:r w:rsidRPr="00844DC7">
              <w:rPr>
                <w:rFonts w:ascii="Times New Roman" w:hAnsi="Times New Roman"/>
                <w:sz w:val="24"/>
              </w:rPr>
              <w:t xml:space="preserve">articolo 111 del </w:t>
            </w:r>
            <w:r w:rsidRPr="00844DC7">
              <w:rPr>
                <w:rFonts w:ascii="Times New Roman" w:hAnsi="Times New Roman"/>
                <w:color w:val="000000" w:themeColor="text1"/>
                <w:sz w:val="24"/>
              </w:rPr>
              <w:t>regolamento (UE) n. 575/2013</w:t>
            </w:r>
            <w:r w:rsidRPr="00844DC7">
              <w:rPr>
                <w:rFonts w:ascii="Times New Roman" w:hAnsi="Times New Roman"/>
                <w:sz w:val="24"/>
              </w:rPr>
              <w:t>;</w:t>
            </w:r>
          </w:p>
          <w:p w14:paraId="137E39A3" w14:textId="7DCA8504"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 dopo l</w:t>
            </w:r>
            <w:r w:rsidR="00F16DA0" w:rsidRPr="00844DC7">
              <w:rPr>
                <w:rFonts w:ascii="Times New Roman" w:hAnsi="Times New Roman"/>
                <w:sz w:val="24"/>
              </w:rPr>
              <w:t>'</w:t>
            </w:r>
            <w:r w:rsidRPr="00844DC7">
              <w:rPr>
                <w:rFonts w:ascii="Times New Roman" w:hAnsi="Times New Roman"/>
                <w:sz w:val="24"/>
              </w:rPr>
              <w:t>applicazione delle rettifiche di valore su crediti specifiche e delle deduzioni degli importi ai sensi dell</w:t>
            </w:r>
            <w:r w:rsidR="00F16DA0" w:rsidRPr="00844DC7">
              <w:rPr>
                <w:rFonts w:ascii="Times New Roman" w:hAnsi="Times New Roman"/>
                <w:sz w:val="24"/>
              </w:rPr>
              <w:t>'</w:t>
            </w:r>
            <w:r w:rsidRPr="00844DC7">
              <w:rPr>
                <w:rFonts w:ascii="Times New Roman" w:hAnsi="Times New Roman"/>
                <w:sz w:val="24"/>
              </w:rPr>
              <w:t xml:space="preserve">articolo 36, paragrafo 1, lettera m),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per le esposizioni fuori bilancio, conformemente all</w:t>
            </w:r>
            <w:r w:rsidR="00F16DA0" w:rsidRPr="00844DC7">
              <w:rPr>
                <w:rFonts w:ascii="Times New Roman" w:hAnsi="Times New Roman"/>
                <w:sz w:val="24"/>
              </w:rPr>
              <w:t>'</w:t>
            </w:r>
            <w:r w:rsidRPr="00844DC7">
              <w:rPr>
                <w:rFonts w:ascii="Times New Roman" w:hAnsi="Times New Roman"/>
                <w:sz w:val="24"/>
              </w:rPr>
              <w:t xml:space="preserve">articolo 111 di </w:t>
            </w:r>
            <w:r w:rsidRPr="00844DC7">
              <w:rPr>
                <w:rFonts w:ascii="Times New Roman" w:hAnsi="Times New Roman"/>
                <w:color w:val="000000" w:themeColor="text1"/>
                <w:sz w:val="24"/>
              </w:rPr>
              <w:t>tale regolamento</w:t>
            </w:r>
            <w:r w:rsidRPr="00844DC7">
              <w:rPr>
                <w:rFonts w:ascii="Times New Roman" w:hAnsi="Times New Roman"/>
                <w:sz w:val="24"/>
              </w:rPr>
              <w:t>;</w:t>
            </w:r>
          </w:p>
          <w:p w14:paraId="137E39A4" w14:textId="6ED7BEE7" w:rsidR="0005278F" w:rsidRPr="00844DC7" w:rsidRDefault="0005278F" w:rsidP="004F3087">
            <w:pPr>
              <w:autoSpaceDE w:val="0"/>
              <w:autoSpaceDN w:val="0"/>
              <w:adjustRightInd w:val="0"/>
              <w:spacing w:after="120"/>
              <w:jc w:val="both"/>
              <w:rPr>
                <w:rFonts w:ascii="Times New Roman" w:eastAsia="Times New Roman" w:hAnsi="Times New Roman" w:cs="Times New Roman"/>
                <w:iCs/>
                <w:sz w:val="24"/>
              </w:rPr>
            </w:pPr>
            <w:r w:rsidRPr="00844DC7">
              <w:rPr>
                <w:rFonts w:ascii="Times New Roman" w:hAnsi="Times New Roman"/>
                <w:sz w:val="24"/>
              </w:rPr>
              <w:t>- dopo i) l</w:t>
            </w:r>
            <w:r w:rsidR="00F16DA0" w:rsidRPr="00844DC7">
              <w:rPr>
                <w:rFonts w:ascii="Times New Roman" w:hAnsi="Times New Roman"/>
                <w:sz w:val="24"/>
              </w:rPr>
              <w:t>'</w:t>
            </w:r>
            <w:r w:rsidRPr="00844DC7">
              <w:rPr>
                <w:rFonts w:ascii="Times New Roman" w:hAnsi="Times New Roman"/>
                <w:sz w:val="24"/>
              </w:rPr>
              <w:t>applicazione dei fattori di conversione specificati nello stesso articolo e ii) l</w:t>
            </w:r>
            <w:r w:rsidR="00F16DA0" w:rsidRPr="00844DC7">
              <w:rPr>
                <w:rFonts w:ascii="Times New Roman" w:hAnsi="Times New Roman"/>
                <w:sz w:val="24"/>
              </w:rPr>
              <w:t>'</w:t>
            </w:r>
            <w:r w:rsidRPr="00844DC7">
              <w:rPr>
                <w:rFonts w:ascii="Times New Roman" w:hAnsi="Times New Roman"/>
                <w:sz w:val="24"/>
              </w:rPr>
              <w:t>applicazione delle tecniche di CRM specificate nella parte tre, titolo II, capo 4, del regolamento (UE) n. 575/2013 per le esposizioni in bilancio e fuori bilancio.</w:t>
            </w:r>
          </w:p>
        </w:tc>
      </w:tr>
      <w:tr w:rsidR="0005278F" w:rsidRPr="00844DC7" w14:paraId="137E39A9" w14:textId="77777777" w:rsidTr="5A0D947F">
        <w:trPr>
          <w:trHeight w:val="316"/>
        </w:trPr>
        <w:tc>
          <w:tcPr>
            <w:tcW w:w="1413" w:type="dxa"/>
            <w:vAlign w:val="center"/>
          </w:tcPr>
          <w:p w14:paraId="137E39A6" w14:textId="0F8A40D0" w:rsidR="0005278F" w:rsidRPr="00844DC7" w:rsidRDefault="00AF4BEA" w:rsidP="004F308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aa</w:t>
            </w:r>
          </w:p>
        </w:tc>
        <w:tc>
          <w:tcPr>
            <w:tcW w:w="7654" w:type="dxa"/>
          </w:tcPr>
          <w:p w14:paraId="137E39A7" w14:textId="77777777" w:rsidR="0005278F" w:rsidRPr="00844DC7" w:rsidRDefault="0005278F" w:rsidP="004F3087">
            <w:pPr>
              <w:autoSpaceDE w:val="0"/>
              <w:autoSpaceDN w:val="0"/>
              <w:adjustRightInd w:val="0"/>
              <w:spacing w:after="120"/>
              <w:jc w:val="both"/>
              <w:rPr>
                <w:rFonts w:ascii="Times New Roman" w:eastAsia="Times New Roman" w:hAnsi="Times New Roman" w:cs="Times New Roman"/>
                <w:b/>
                <w:iCs/>
                <w:sz w:val="24"/>
              </w:rPr>
            </w:pPr>
            <w:r w:rsidRPr="00844DC7">
              <w:rPr>
                <w:rFonts w:ascii="Times New Roman" w:hAnsi="Times New Roman"/>
                <w:b/>
                <w:sz w:val="24"/>
              </w:rPr>
              <w:t>Di cui prive di rating:</w:t>
            </w:r>
          </w:p>
          <w:p w14:paraId="137E39A8" w14:textId="18C1E188" w:rsidR="0005278F" w:rsidRPr="00844DC7" w:rsidRDefault="0005278F" w:rsidP="5A0D947F">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esposizioni per le quali non è disponibile una valutazione del merito di credito da parte di un</w:t>
            </w:r>
            <w:r w:rsidR="00F16DA0" w:rsidRPr="00844DC7">
              <w:rPr>
                <w:rFonts w:ascii="Times New Roman" w:hAnsi="Times New Roman"/>
                <w:sz w:val="24"/>
              </w:rPr>
              <w:t>'</w:t>
            </w:r>
            <w:r w:rsidRPr="00844DC7">
              <w:rPr>
                <w:rFonts w:ascii="Times New Roman" w:hAnsi="Times New Roman"/>
                <w:sz w:val="24"/>
              </w:rPr>
              <w:t xml:space="preserve">ECAI prescelta e alle quali sono applicati fattori specifici di </w:t>
            </w:r>
            <w:r w:rsidRPr="00844DC7">
              <w:rPr>
                <w:rFonts w:ascii="Times New Roman" w:hAnsi="Times New Roman"/>
                <w:sz w:val="24"/>
              </w:rPr>
              <w:lastRenderedPageBreak/>
              <w:t xml:space="preserve">ponderazione del rischio a seconda della classe di esposizioni, come specificato negli articoli da 113 a 134 del </w:t>
            </w:r>
            <w:r w:rsidRPr="00844DC7">
              <w:rPr>
                <w:rFonts w:ascii="Times New Roman" w:hAnsi="Times New Roman"/>
                <w:color w:val="000000" w:themeColor="text1"/>
                <w:sz w:val="24"/>
              </w:rPr>
              <w:t>regolamento (UE) n. 575/2013.</w:t>
            </w:r>
          </w:p>
        </w:tc>
      </w:tr>
    </w:tbl>
    <w:p w14:paraId="137E39AA" w14:textId="44CC0DF7" w:rsidR="0005278F" w:rsidRPr="00844DC7"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844DC7"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6C591737" w:rsidR="00535F36" w:rsidRPr="00844DC7" w:rsidRDefault="00535F36" w:rsidP="00A518F7">
            <w:pPr>
              <w:autoSpaceDE w:val="0"/>
              <w:autoSpaceDN w:val="0"/>
              <w:adjustRightInd w:val="0"/>
              <w:spacing w:after="120"/>
              <w:rPr>
                <w:rFonts w:ascii="Times New Roman" w:hAnsi="Times New Roman" w:cs="Times New Roman"/>
                <w:b/>
                <w:sz w:val="24"/>
              </w:rPr>
            </w:pPr>
            <w:r w:rsidRPr="00844DC7">
              <w:rPr>
                <w:rFonts w:ascii="Times New Roman" w:hAnsi="Times New Roman"/>
                <w:b/>
                <w:sz w:val="24"/>
              </w:rPr>
              <w:t xml:space="preserve">Numero </w:t>
            </w:r>
            <w:r w:rsidR="000F63A1" w:rsidRPr="00844DC7">
              <w:rPr>
                <w:rFonts w:ascii="Times New Roman" w:hAnsi="Times New Roman"/>
                <w:b/>
                <w:sz w:val="24"/>
              </w:rPr>
              <w:br/>
            </w:r>
            <w:r w:rsidRPr="00844DC7">
              <w:rPr>
                <w:rFonts w:ascii="Times New Roman" w:hAnsi="Times New Roman"/>
                <w:b/>
                <w:sz w:val="24"/>
              </w:rPr>
              <w:t>di riga</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844DC7" w:rsidRDefault="00535F36" w:rsidP="00A518F7">
            <w:pPr>
              <w:spacing w:after="120"/>
              <w:rPr>
                <w:rFonts w:ascii="Times New Roman" w:hAnsi="Times New Roman" w:cs="Times New Roman"/>
                <w:b/>
                <w:sz w:val="24"/>
              </w:rPr>
            </w:pPr>
            <w:r w:rsidRPr="00844DC7">
              <w:rPr>
                <w:rFonts w:ascii="Times New Roman" w:hAnsi="Times New Roman"/>
                <w:b/>
                <w:sz w:val="24"/>
              </w:rPr>
              <w:t>Riferimenti giuridici e istruzioni</w:t>
            </w:r>
          </w:p>
        </w:tc>
      </w:tr>
      <w:tr w:rsidR="00535F36" w:rsidRPr="00844DC7" w14:paraId="37948471" w14:textId="77777777" w:rsidTr="5A0D947F">
        <w:trPr>
          <w:trHeight w:val="336"/>
        </w:trPr>
        <w:tc>
          <w:tcPr>
            <w:tcW w:w="1413" w:type="dxa"/>
            <w:vMerge/>
          </w:tcPr>
          <w:p w14:paraId="0D13816F" w14:textId="77777777" w:rsidR="00535F36" w:rsidRPr="00844DC7"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844DC7" w:rsidRDefault="00535F36" w:rsidP="00A518F7">
            <w:pPr>
              <w:autoSpaceDE w:val="0"/>
              <w:autoSpaceDN w:val="0"/>
              <w:adjustRightInd w:val="0"/>
              <w:spacing w:after="120"/>
              <w:rPr>
                <w:rFonts w:ascii="Times New Roman" w:hAnsi="Times New Roman" w:cs="Times New Roman"/>
                <w:color w:val="000000"/>
                <w:sz w:val="24"/>
              </w:rPr>
            </w:pPr>
            <w:r w:rsidRPr="00844DC7">
              <w:rPr>
                <w:rFonts w:ascii="Times New Roman" w:hAnsi="Times New Roman"/>
                <w:b/>
                <w:sz w:val="24"/>
              </w:rPr>
              <w:t>Spiegazione</w:t>
            </w:r>
          </w:p>
        </w:tc>
      </w:tr>
      <w:tr w:rsidR="00B731E6" w:rsidRPr="00844DC7" w14:paraId="633F9A94" w14:textId="77777777" w:rsidTr="5A0D947F">
        <w:trPr>
          <w:trHeight w:val="507"/>
        </w:trPr>
        <w:tc>
          <w:tcPr>
            <w:tcW w:w="1413" w:type="dxa"/>
            <w:shd w:val="clear" w:color="auto" w:fill="auto"/>
          </w:tcPr>
          <w:p w14:paraId="57A9AA9B" w14:textId="79AF0B5E" w:rsidR="00B731E6" w:rsidRPr="00844DC7" w:rsidRDefault="00B731E6" w:rsidP="00844DC7">
            <w:pPr>
              <w:autoSpaceDE w:val="0"/>
              <w:autoSpaceDN w:val="0"/>
              <w:adjustRightInd w:val="0"/>
              <w:spacing w:after="120"/>
              <w:rPr>
                <w:rFonts w:ascii="Times New Roman" w:eastAsia="Times New Roman" w:hAnsi="Times New Roman" w:cs="Times New Roman"/>
                <w:sz w:val="24"/>
              </w:rPr>
            </w:pPr>
            <w:r w:rsidRPr="00844DC7">
              <w:rPr>
                <w:rFonts w:ascii="Times New Roman" w:hAnsi="Times New Roman"/>
                <w:sz w:val="24"/>
              </w:rPr>
              <w:t xml:space="preserve">1, EU </w:t>
            </w:r>
            <w:proofErr w:type="gramStart"/>
            <w:r w:rsidRPr="00844DC7">
              <w:rPr>
                <w:rFonts w:ascii="Times New Roman" w:hAnsi="Times New Roman"/>
                <w:sz w:val="24"/>
              </w:rPr>
              <w:t>2a</w:t>
            </w:r>
            <w:proofErr w:type="gramEnd"/>
            <w:r w:rsidRPr="00844DC7">
              <w:rPr>
                <w:rFonts w:ascii="Times New Roman" w:hAnsi="Times New Roman"/>
                <w:sz w:val="24"/>
              </w:rPr>
              <w:t>, EU 2b, 3, EU 3a, 4, 5, 6, EU 7a, EU 7b, 8, 9, 10, EU 10a, EU 10b, EU</w:t>
            </w:r>
            <w:r w:rsidR="00F16DA0" w:rsidRPr="00844DC7">
              <w:rPr>
                <w:rFonts w:ascii="Times New Roman" w:hAnsi="Times New Roman"/>
                <w:sz w:val="24"/>
              </w:rPr>
              <w:t> </w:t>
            </w:r>
            <w:r w:rsidRPr="00844DC7">
              <w:rPr>
                <w:rFonts w:ascii="Times New Roman" w:hAnsi="Times New Roman"/>
                <w:sz w:val="24"/>
              </w:rPr>
              <w:t>10c</w:t>
            </w:r>
          </w:p>
        </w:tc>
        <w:tc>
          <w:tcPr>
            <w:tcW w:w="7654" w:type="dxa"/>
            <w:shd w:val="clear" w:color="auto" w:fill="auto"/>
          </w:tcPr>
          <w:p w14:paraId="2302E80F" w14:textId="15B1C2A8" w:rsidR="00B731E6" w:rsidRPr="00844DC7" w:rsidRDefault="00B731E6" w:rsidP="00B731E6">
            <w:pPr>
              <w:spacing w:after="120"/>
              <w:jc w:val="both"/>
              <w:rPr>
                <w:rFonts w:ascii="Times New Roman" w:hAnsi="Times New Roman" w:cs="Times New Roman"/>
                <w:sz w:val="24"/>
              </w:rPr>
            </w:pPr>
            <w:r w:rsidRPr="00844DC7">
              <w:rPr>
                <w:rFonts w:ascii="Times New Roman" w:hAnsi="Times New Roman"/>
                <w:sz w:val="24"/>
              </w:rPr>
              <w:t>Classi di esposizioni conformemente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112 del regolamento (UE) n. 575/2013. </w:t>
            </w:r>
          </w:p>
          <w:p w14:paraId="418D4291" w14:textId="64D16B89" w:rsidR="00B731E6" w:rsidRPr="00844DC7" w:rsidRDefault="0B701945" w:rsidP="5A0D947F">
            <w:pPr>
              <w:spacing w:after="120"/>
              <w:jc w:val="both"/>
              <w:rPr>
                <w:rFonts w:ascii="Times New Roman" w:hAnsi="Times New Roman" w:cs="Times New Roman"/>
                <w:sz w:val="24"/>
              </w:rPr>
            </w:pPr>
            <w:r w:rsidRPr="00844DC7">
              <w:rPr>
                <w:rFonts w:ascii="Times New Roman" w:hAnsi="Times New Roman"/>
                <w:sz w:val="24"/>
              </w:rPr>
              <w:t xml:space="preserve">Non sono incluse le esposizioni assegnate alla classe di esposizioni </w:t>
            </w:r>
            <w:r w:rsidR="00F16DA0" w:rsidRPr="00844DC7">
              <w:rPr>
                <w:rFonts w:ascii="Times New Roman" w:hAnsi="Times New Roman"/>
                <w:sz w:val="24"/>
              </w:rPr>
              <w:t>"</w:t>
            </w:r>
            <w:r w:rsidRPr="00844DC7">
              <w:rPr>
                <w:rFonts w:ascii="Times New Roman" w:hAnsi="Times New Roman"/>
                <w:sz w:val="24"/>
              </w:rPr>
              <w:t>elementi che rappresentano posizioni verso la cartolarizzazione</w:t>
            </w:r>
            <w:r w:rsidR="00F16DA0" w:rsidRPr="00844DC7">
              <w:rPr>
                <w:rFonts w:ascii="Times New Roman" w:hAnsi="Times New Roman"/>
                <w:sz w:val="24"/>
              </w:rPr>
              <w:t>"</w:t>
            </w:r>
            <w:r w:rsidRPr="00844DC7">
              <w:rPr>
                <w:rFonts w:ascii="Times New Roman" w:hAnsi="Times New Roman"/>
                <w:sz w:val="24"/>
              </w:rPr>
              <w:t xml:space="preserve"> di cui all</w:t>
            </w:r>
            <w:r w:rsidR="00F16DA0" w:rsidRPr="00844DC7">
              <w:rPr>
                <w:rFonts w:ascii="Times New Roman" w:hAnsi="Times New Roman"/>
                <w:sz w:val="24"/>
              </w:rPr>
              <w:t>'</w:t>
            </w:r>
            <w:r w:rsidRPr="00844DC7">
              <w:rPr>
                <w:rFonts w:ascii="Times New Roman" w:hAnsi="Times New Roman"/>
                <w:sz w:val="24"/>
              </w:rPr>
              <w:t xml:space="preserve">articolo 112, lettera m),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AF5033" w:rsidRPr="00844DC7" w14:paraId="685DA180" w14:textId="77777777" w:rsidTr="5A0D947F">
        <w:trPr>
          <w:trHeight w:val="699"/>
        </w:trPr>
        <w:tc>
          <w:tcPr>
            <w:tcW w:w="1413" w:type="dxa"/>
            <w:shd w:val="clear" w:color="auto" w:fill="auto"/>
          </w:tcPr>
          <w:p w14:paraId="1C0D8004" w14:textId="77777777" w:rsidR="00AF5033" w:rsidRPr="00844DC7" w:rsidRDefault="00AF5033" w:rsidP="00AB03E9">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2</w:t>
            </w:r>
          </w:p>
        </w:tc>
        <w:tc>
          <w:tcPr>
            <w:tcW w:w="7654" w:type="dxa"/>
            <w:shd w:val="clear" w:color="auto" w:fill="auto"/>
          </w:tcPr>
          <w:p w14:paraId="79E951C7" w14:textId="311E1895" w:rsidR="00F26067" w:rsidRPr="00844DC7" w:rsidRDefault="009B6905" w:rsidP="00AB03E9">
            <w:pPr>
              <w:spacing w:after="120"/>
              <w:jc w:val="both"/>
              <w:rPr>
                <w:rFonts w:ascii="Times New Roman" w:eastAsiaTheme="minorHAnsi" w:hAnsi="Times New Roman" w:cs="Times New Roman"/>
                <w:b/>
                <w:bCs/>
                <w:sz w:val="24"/>
              </w:rPr>
            </w:pPr>
            <w:r w:rsidRPr="00844DC7">
              <w:rPr>
                <w:rFonts w:ascii="Times New Roman" w:hAnsi="Times New Roman"/>
                <w:b/>
                <w:sz w:val="24"/>
              </w:rPr>
              <w:t xml:space="preserve">Organismi del settore pubblico non appartenenti alle amministrazioni centrali </w:t>
            </w:r>
          </w:p>
          <w:p w14:paraId="4CF4DA0A" w14:textId="6AA1E2BE" w:rsidR="00AF5033" w:rsidRPr="00844DC7" w:rsidRDefault="00F26067" w:rsidP="00AB03E9">
            <w:pPr>
              <w:spacing w:after="120"/>
              <w:jc w:val="both"/>
              <w:rPr>
                <w:rFonts w:ascii="Times New Roman" w:eastAsiaTheme="minorHAnsi" w:hAnsi="Times New Roman" w:cs="Times New Roman"/>
                <w:sz w:val="24"/>
              </w:rPr>
            </w:pPr>
            <w:r w:rsidRPr="00844DC7">
              <w:rPr>
                <w:rFonts w:ascii="Times New Roman" w:hAnsi="Times New Roman"/>
                <w:sz w:val="24"/>
              </w:rPr>
              <w:t xml:space="preserve">Somma delle esposizioni di cui alle righe EU </w:t>
            </w:r>
            <w:proofErr w:type="gramStart"/>
            <w:r w:rsidRPr="00844DC7">
              <w:rPr>
                <w:rFonts w:ascii="Times New Roman" w:hAnsi="Times New Roman"/>
                <w:sz w:val="24"/>
              </w:rPr>
              <w:t>2a</w:t>
            </w:r>
            <w:proofErr w:type="gramEnd"/>
            <w:r w:rsidRPr="00844DC7">
              <w:rPr>
                <w:rFonts w:ascii="Times New Roman" w:hAnsi="Times New Roman"/>
                <w:sz w:val="24"/>
              </w:rPr>
              <w:t xml:space="preserve"> e EU 2b.</w:t>
            </w:r>
          </w:p>
        </w:tc>
      </w:tr>
      <w:tr w:rsidR="00B731E6" w:rsidRPr="00844DC7" w14:paraId="43E2EF2A" w14:textId="77777777" w:rsidTr="5A0D947F">
        <w:trPr>
          <w:trHeight w:val="507"/>
        </w:trPr>
        <w:tc>
          <w:tcPr>
            <w:tcW w:w="1413" w:type="dxa"/>
            <w:shd w:val="clear" w:color="auto" w:fill="auto"/>
          </w:tcPr>
          <w:p w14:paraId="37172C4D" w14:textId="2D7F1A6B"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2a</w:t>
            </w:r>
          </w:p>
        </w:tc>
        <w:tc>
          <w:tcPr>
            <w:tcW w:w="7654" w:type="dxa"/>
            <w:shd w:val="clear" w:color="auto" w:fill="auto"/>
          </w:tcPr>
          <w:p w14:paraId="6E395D8A" w14:textId="5F849253" w:rsidR="00F2606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Amministrazioni regionali o autorità locali</w:t>
            </w:r>
          </w:p>
          <w:p w14:paraId="0F0B69B5" w14:textId="15AF7087"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 xml:space="preserve">b),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e all</w:t>
            </w:r>
            <w:r w:rsidR="00F16DA0" w:rsidRPr="00844DC7">
              <w:rPr>
                <w:rFonts w:ascii="Times New Roman" w:hAnsi="Times New Roman"/>
                <w:sz w:val="24"/>
              </w:rPr>
              <w:t>'</w:t>
            </w:r>
            <w:r w:rsidRPr="00844DC7">
              <w:rPr>
                <w:rFonts w:ascii="Times New Roman" w:hAnsi="Times New Roman"/>
                <w:sz w:val="24"/>
              </w:rPr>
              <w:t xml:space="preserve">articolo 115, paragrafi -1, 1, 3, 4 e 5, di </w:t>
            </w:r>
            <w:r w:rsidRPr="00844DC7">
              <w:rPr>
                <w:rFonts w:ascii="Times New Roman" w:hAnsi="Times New Roman"/>
                <w:color w:val="000000" w:themeColor="text1"/>
                <w:sz w:val="24"/>
              </w:rPr>
              <w:t>tale regolamento</w:t>
            </w:r>
            <w:r w:rsidRPr="00844DC7">
              <w:rPr>
                <w:rFonts w:ascii="Times New Roman" w:hAnsi="Times New Roman"/>
                <w:sz w:val="24"/>
              </w:rPr>
              <w:t xml:space="preserve"> per le esposizioni soggette al metodo standardizzato</w:t>
            </w:r>
            <w:r w:rsidRPr="00844DC7">
              <w:rPr>
                <w:rFonts w:ascii="Times New Roman" w:hAnsi="Times New Roman"/>
              </w:rPr>
              <w:t>.</w:t>
            </w:r>
          </w:p>
        </w:tc>
      </w:tr>
      <w:tr w:rsidR="00B731E6" w:rsidRPr="00844DC7" w14:paraId="5C5BD0AC" w14:textId="77777777" w:rsidTr="5A0D947F">
        <w:trPr>
          <w:trHeight w:val="507"/>
        </w:trPr>
        <w:tc>
          <w:tcPr>
            <w:tcW w:w="1413" w:type="dxa"/>
            <w:shd w:val="clear" w:color="auto" w:fill="auto"/>
          </w:tcPr>
          <w:p w14:paraId="4E17DAB0" w14:textId="48A8906B"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2b</w:t>
            </w:r>
          </w:p>
        </w:tc>
        <w:tc>
          <w:tcPr>
            <w:tcW w:w="7654" w:type="dxa"/>
            <w:shd w:val="clear" w:color="auto" w:fill="auto"/>
          </w:tcPr>
          <w:p w14:paraId="6B0874A8" w14:textId="7C1E20B6" w:rsidR="00F2606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Organismi del settore pubblico</w:t>
            </w:r>
          </w:p>
          <w:p w14:paraId="042D63D7" w14:textId="68BFC826"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 xml:space="preserve">articolo 4, paragrafo 1, punto 8,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e all</w:t>
            </w:r>
            <w:r w:rsidR="00F16DA0" w:rsidRPr="00844DC7">
              <w:rPr>
                <w:rFonts w:ascii="Times New Roman" w:hAnsi="Times New Roman"/>
                <w:sz w:val="24"/>
              </w:rPr>
              <w:t>'</w:t>
            </w:r>
            <w:r w:rsidRPr="00844DC7">
              <w:rPr>
                <w:rFonts w:ascii="Times New Roman" w:hAnsi="Times New Roman"/>
                <w:sz w:val="24"/>
              </w:rPr>
              <w:t>articolo 112, lettera c), e all</w:t>
            </w:r>
            <w:r w:rsidR="00F16DA0" w:rsidRPr="00844DC7">
              <w:rPr>
                <w:rFonts w:ascii="Times New Roman" w:hAnsi="Times New Roman"/>
                <w:sz w:val="24"/>
              </w:rPr>
              <w:t>'</w:t>
            </w:r>
            <w:r w:rsidRPr="00844DC7">
              <w:rPr>
                <w:rFonts w:ascii="Times New Roman" w:hAnsi="Times New Roman"/>
                <w:sz w:val="24"/>
              </w:rPr>
              <w:t xml:space="preserve">articolo 116, paragrafi 1, 2, 3, 4 e 5, di </w:t>
            </w:r>
            <w:r w:rsidRPr="00844DC7">
              <w:rPr>
                <w:rFonts w:ascii="Times New Roman" w:hAnsi="Times New Roman"/>
                <w:color w:val="000000" w:themeColor="text1"/>
                <w:sz w:val="24"/>
              </w:rPr>
              <w:t>tale regolamento</w:t>
            </w:r>
            <w:r w:rsidRPr="00844DC7">
              <w:rPr>
                <w:rFonts w:ascii="Times New Roman" w:hAnsi="Times New Roman"/>
                <w:sz w:val="24"/>
              </w:rPr>
              <w:t xml:space="preserve"> per le esposizioni soggette al metodo standardizzato.</w:t>
            </w:r>
          </w:p>
        </w:tc>
      </w:tr>
      <w:tr w:rsidR="00B731E6" w:rsidRPr="00844DC7" w14:paraId="31C58E90" w14:textId="77777777" w:rsidTr="5A0D947F">
        <w:trPr>
          <w:trHeight w:val="507"/>
        </w:trPr>
        <w:tc>
          <w:tcPr>
            <w:tcW w:w="1413" w:type="dxa"/>
            <w:shd w:val="clear" w:color="auto" w:fill="auto"/>
          </w:tcPr>
          <w:p w14:paraId="688254C4" w14:textId="5508F69D"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6</w:t>
            </w:r>
          </w:p>
        </w:tc>
        <w:tc>
          <w:tcPr>
            <w:tcW w:w="7654" w:type="dxa"/>
            <w:shd w:val="clear" w:color="auto" w:fill="auto"/>
          </w:tcPr>
          <w:p w14:paraId="0D63781E" w14:textId="3D73F3E2" w:rsidR="00F2606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Esposizioni verso imprese</w:t>
            </w:r>
          </w:p>
          <w:p w14:paraId="6AFAC788" w14:textId="6DF5156A"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g),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122 del</w:t>
            </w:r>
            <w:r w:rsidRPr="00844DC7">
              <w:rPr>
                <w:rFonts w:ascii="Times New Roman" w:hAnsi="Times New Roman"/>
                <w:color w:val="000000" w:themeColor="text1"/>
                <w:sz w:val="24"/>
              </w:rPr>
              <w:t xml:space="preserve"> regolamento (UE) n. 575/2013</w:t>
            </w:r>
            <w:r w:rsidRPr="00844DC7">
              <w:rPr>
                <w:rFonts w:ascii="Times New Roman" w:hAnsi="Times New Roman"/>
                <w:sz w:val="24"/>
              </w:rPr>
              <w:t>.</w:t>
            </w:r>
          </w:p>
        </w:tc>
      </w:tr>
      <w:tr w:rsidR="00B731E6" w:rsidRPr="00844DC7" w14:paraId="15791A2F" w14:textId="77777777" w:rsidTr="5A0D947F">
        <w:trPr>
          <w:trHeight w:val="507"/>
        </w:trPr>
        <w:tc>
          <w:tcPr>
            <w:tcW w:w="1413" w:type="dxa"/>
            <w:shd w:val="clear" w:color="auto" w:fill="auto"/>
          </w:tcPr>
          <w:p w14:paraId="2C67CA19" w14:textId="46E29F06" w:rsidR="00B731E6" w:rsidRPr="00844DC7" w:rsidRDefault="00F9364E"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6.1</w:t>
            </w:r>
          </w:p>
        </w:tc>
        <w:tc>
          <w:tcPr>
            <w:tcW w:w="7654" w:type="dxa"/>
            <w:shd w:val="clear" w:color="auto" w:fill="auto"/>
          </w:tcPr>
          <w:p w14:paraId="7434934B" w14:textId="62424925" w:rsidR="00F26067" w:rsidRPr="00844DC7" w:rsidRDefault="00F26067" w:rsidP="5A0D947F">
            <w:pPr>
              <w:spacing w:after="120"/>
              <w:jc w:val="both"/>
              <w:rPr>
                <w:rFonts w:ascii="Times New Roman" w:hAnsi="Times New Roman" w:cs="Times New Roman"/>
                <w:b/>
                <w:bCs/>
                <w:sz w:val="24"/>
              </w:rPr>
            </w:pPr>
            <w:r w:rsidRPr="00844DC7">
              <w:rPr>
                <w:rFonts w:ascii="Times New Roman" w:hAnsi="Times New Roman"/>
                <w:sz w:val="24"/>
              </w:rPr>
              <w:t xml:space="preserve"> </w:t>
            </w:r>
            <w:r w:rsidRPr="00844DC7">
              <w:rPr>
                <w:rFonts w:ascii="Times New Roman" w:hAnsi="Times New Roman"/>
                <w:b/>
                <w:sz w:val="24"/>
              </w:rPr>
              <w:t>Di cui finanziamenti specializzati</w:t>
            </w:r>
          </w:p>
          <w:p w14:paraId="24C0DA08" w14:textId="2CDC08FD"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122 bis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w:t>
            </w:r>
          </w:p>
        </w:tc>
      </w:tr>
      <w:tr w:rsidR="00B731E6" w:rsidRPr="00844DC7" w14:paraId="5C84CA61" w14:textId="77777777" w:rsidTr="5A0D947F">
        <w:trPr>
          <w:trHeight w:val="507"/>
        </w:trPr>
        <w:tc>
          <w:tcPr>
            <w:tcW w:w="1413" w:type="dxa"/>
            <w:shd w:val="clear" w:color="auto" w:fill="auto"/>
          </w:tcPr>
          <w:p w14:paraId="61EE362B" w14:textId="6EA863F3"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7</w:t>
            </w:r>
          </w:p>
        </w:tc>
        <w:tc>
          <w:tcPr>
            <w:tcW w:w="7654" w:type="dxa"/>
            <w:shd w:val="clear" w:color="auto" w:fill="auto"/>
          </w:tcPr>
          <w:p w14:paraId="4D223688" w14:textId="3E9BBE9B" w:rsidR="00F26067" w:rsidRPr="00844DC7" w:rsidRDefault="00B731E6" w:rsidP="00B731E6">
            <w:pPr>
              <w:spacing w:after="120"/>
              <w:jc w:val="both"/>
              <w:rPr>
                <w:rFonts w:ascii="Times New Roman" w:eastAsiaTheme="minorHAnsi" w:hAnsi="Times New Roman" w:cs="Times New Roman"/>
                <w:b/>
                <w:bCs/>
                <w:sz w:val="24"/>
              </w:rPr>
            </w:pPr>
            <w:r w:rsidRPr="00844DC7">
              <w:rPr>
                <w:rFonts w:ascii="Times New Roman" w:hAnsi="Times New Roman"/>
                <w:b/>
                <w:sz w:val="24"/>
              </w:rPr>
              <w:t>Esposizioni da debito subordinato e strumenti di capitale</w:t>
            </w:r>
          </w:p>
          <w:p w14:paraId="0AA0F933" w14:textId="77EC0BD5" w:rsidR="00B731E6" w:rsidRPr="00844DC7" w:rsidRDefault="00F26067" w:rsidP="00B731E6">
            <w:pPr>
              <w:spacing w:after="120"/>
              <w:jc w:val="both"/>
              <w:rPr>
                <w:rFonts w:ascii="Times New Roman" w:eastAsiaTheme="minorHAnsi" w:hAnsi="Times New Roman" w:cs="Times New Roman"/>
                <w:sz w:val="24"/>
              </w:rPr>
            </w:pPr>
            <w:r w:rsidRPr="00844DC7">
              <w:rPr>
                <w:rFonts w:ascii="Times New Roman" w:hAnsi="Times New Roman"/>
                <w:sz w:val="24"/>
              </w:rPr>
              <w:t>La somma delle righe definite di seguito (EU 7a e EU 7b).</w:t>
            </w:r>
          </w:p>
        </w:tc>
      </w:tr>
      <w:tr w:rsidR="00B731E6" w:rsidRPr="00844DC7" w14:paraId="75520DAB" w14:textId="77777777" w:rsidTr="5A0D947F">
        <w:trPr>
          <w:trHeight w:val="507"/>
        </w:trPr>
        <w:tc>
          <w:tcPr>
            <w:tcW w:w="1413" w:type="dxa"/>
            <w:shd w:val="clear" w:color="auto" w:fill="auto"/>
          </w:tcPr>
          <w:p w14:paraId="6D54D58F" w14:textId="40B5DA6A"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7a</w:t>
            </w:r>
          </w:p>
        </w:tc>
        <w:tc>
          <w:tcPr>
            <w:tcW w:w="7654" w:type="dxa"/>
            <w:shd w:val="clear" w:color="auto" w:fill="auto"/>
          </w:tcPr>
          <w:p w14:paraId="2087D858" w14:textId="358EEE2E" w:rsidR="00F2606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Esposizioni da debito subordinato</w:t>
            </w:r>
          </w:p>
          <w:p w14:paraId="6A91C57C" w14:textId="453BB5EE"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k),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128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1BA8F816" w14:textId="77777777" w:rsidTr="5A0D947F">
        <w:trPr>
          <w:trHeight w:val="507"/>
        </w:trPr>
        <w:tc>
          <w:tcPr>
            <w:tcW w:w="1413" w:type="dxa"/>
            <w:shd w:val="clear" w:color="auto" w:fill="auto"/>
          </w:tcPr>
          <w:p w14:paraId="67E36157" w14:textId="40601992"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EU 7b</w:t>
            </w:r>
          </w:p>
        </w:tc>
        <w:tc>
          <w:tcPr>
            <w:tcW w:w="7654" w:type="dxa"/>
            <w:shd w:val="clear" w:color="auto" w:fill="auto"/>
          </w:tcPr>
          <w:p w14:paraId="1433F3D8" w14:textId="30F87742" w:rsidR="00F2606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Strumenti di capitale</w:t>
            </w:r>
          </w:p>
          <w:p w14:paraId="191A2924" w14:textId="4AAC6F29"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Esposizioni quali definite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112, lettera</w:t>
            </w:r>
            <w:r w:rsidR="000F63A1" w:rsidRPr="00844DC7">
              <w:rPr>
                <w:rFonts w:ascii="Times New Roman" w:hAnsi="Times New Roman"/>
                <w:sz w:val="24"/>
              </w:rPr>
              <w:t> </w:t>
            </w:r>
            <w:r w:rsidRPr="00844DC7">
              <w:rPr>
                <w:rFonts w:ascii="Times New Roman" w:hAnsi="Times New Roman"/>
                <w:sz w:val="24"/>
              </w:rPr>
              <w:t>p), e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133, paragrafo 1,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2F5024A7" w14:textId="77777777" w:rsidTr="5A0D947F">
        <w:trPr>
          <w:trHeight w:val="507"/>
        </w:trPr>
        <w:tc>
          <w:tcPr>
            <w:tcW w:w="1413" w:type="dxa"/>
            <w:shd w:val="clear" w:color="auto" w:fill="auto"/>
          </w:tcPr>
          <w:p w14:paraId="6C8D4DD7" w14:textId="53CC0B91" w:rsidR="00B731E6" w:rsidRPr="00844DC7" w:rsidRDefault="00B731E6" w:rsidP="00F16DA0">
            <w:pPr>
              <w:keepNext/>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lastRenderedPageBreak/>
              <w:t>9</w:t>
            </w:r>
          </w:p>
        </w:tc>
        <w:tc>
          <w:tcPr>
            <w:tcW w:w="7654" w:type="dxa"/>
            <w:shd w:val="clear" w:color="auto" w:fill="auto"/>
          </w:tcPr>
          <w:p w14:paraId="6F18D30C" w14:textId="20BDB687" w:rsidR="00F26067" w:rsidRPr="00844DC7" w:rsidRDefault="0B701945" w:rsidP="00F16DA0">
            <w:pPr>
              <w:keepNext/>
              <w:spacing w:after="120"/>
              <w:jc w:val="both"/>
              <w:rPr>
                <w:rFonts w:ascii="Times New Roman" w:hAnsi="Times New Roman" w:cs="Times New Roman"/>
                <w:b/>
                <w:bCs/>
                <w:sz w:val="24"/>
              </w:rPr>
            </w:pPr>
            <w:r w:rsidRPr="00844DC7">
              <w:rPr>
                <w:rFonts w:ascii="Times New Roman" w:hAnsi="Times New Roman"/>
                <w:b/>
                <w:sz w:val="24"/>
              </w:rPr>
              <w:t>Esposizioni garantite da ipoteche su beni immobili ed esposizioni ADC</w:t>
            </w:r>
          </w:p>
          <w:p w14:paraId="652029AE" w14:textId="0E8BE9C5" w:rsidR="00B731E6" w:rsidRPr="00844DC7" w:rsidRDefault="00F26067" w:rsidP="00F16DA0">
            <w:pPr>
              <w:keepNext/>
              <w:spacing w:after="120"/>
              <w:jc w:val="both"/>
              <w:rPr>
                <w:rFonts w:ascii="Times New Roman" w:hAnsi="Times New Roman" w:cs="Times New Roman"/>
                <w:sz w:val="24"/>
              </w:rPr>
            </w:pPr>
            <w:r w:rsidRPr="00844DC7">
              <w:rPr>
                <w:rFonts w:ascii="Times New Roman" w:hAnsi="Times New Roman"/>
                <w:sz w:val="24"/>
              </w:rPr>
              <w:t>In questa riga sono segnalate le esposizioni garantite da immobili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4, paragrafo</w:t>
            </w:r>
            <w:r w:rsidR="000F63A1" w:rsidRPr="00844DC7">
              <w:rPr>
                <w:rFonts w:ascii="Times New Roman" w:hAnsi="Times New Roman"/>
                <w:sz w:val="24"/>
              </w:rPr>
              <w:t> </w:t>
            </w:r>
            <w:r w:rsidRPr="00844DC7">
              <w:rPr>
                <w:rFonts w:ascii="Times New Roman" w:hAnsi="Times New Roman"/>
                <w:sz w:val="24"/>
              </w:rPr>
              <w:t xml:space="preserve">1, punti da 75 a 75 septies,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e le esposizioni quali definite all</w:t>
            </w:r>
            <w:r w:rsidR="00F16DA0" w:rsidRPr="00844DC7">
              <w:rPr>
                <w:rFonts w:ascii="Times New Roman" w:hAnsi="Times New Roman"/>
                <w:sz w:val="24"/>
              </w:rPr>
              <w:t>'</w:t>
            </w:r>
            <w:r w:rsidRPr="00844DC7">
              <w:rPr>
                <w:rFonts w:ascii="Times New Roman" w:hAnsi="Times New Roman"/>
                <w:sz w:val="24"/>
              </w:rPr>
              <w:t xml:space="preserve">articolo 4, paragrafo 1, punto 78 bis, di </w:t>
            </w:r>
            <w:r w:rsidRPr="00844DC7">
              <w:rPr>
                <w:rFonts w:ascii="Times New Roman" w:hAnsi="Times New Roman"/>
                <w:color w:val="000000" w:themeColor="text1"/>
                <w:sz w:val="24"/>
              </w:rPr>
              <w:t>tale regolamento</w:t>
            </w:r>
            <w:r w:rsidRPr="00844DC7">
              <w:rPr>
                <w:rFonts w:ascii="Times New Roman" w:hAnsi="Times New Roman"/>
                <w:sz w:val="24"/>
              </w:rPr>
              <w:t>.</w:t>
            </w:r>
          </w:p>
          <w:p w14:paraId="03F0288C" w14:textId="5F4104D7" w:rsidR="00324117" w:rsidRPr="00844DC7" w:rsidRDefault="00324117" w:rsidP="00F16DA0">
            <w:pPr>
              <w:keepNext/>
              <w:spacing w:after="120"/>
              <w:jc w:val="both"/>
              <w:rPr>
                <w:rFonts w:ascii="Times New Roman" w:eastAsiaTheme="minorHAnsi" w:hAnsi="Times New Roman" w:cs="Times New Roman"/>
                <w:sz w:val="24"/>
              </w:rPr>
            </w:pPr>
            <w:r w:rsidRPr="00844DC7">
              <w:rPr>
                <w:rFonts w:ascii="Times New Roman" w:hAnsi="Times New Roman"/>
                <w:sz w:val="24"/>
              </w:rPr>
              <w:t>Questa riga è la somma delle righe 9.1; 9.2; 9.3; 9.4 e 9.5.</w:t>
            </w:r>
          </w:p>
        </w:tc>
      </w:tr>
      <w:tr w:rsidR="00B731E6" w:rsidRPr="00844DC7" w14:paraId="33B98B6E" w14:textId="77777777" w:rsidTr="5A0D947F">
        <w:trPr>
          <w:trHeight w:val="507"/>
        </w:trPr>
        <w:tc>
          <w:tcPr>
            <w:tcW w:w="1413" w:type="dxa"/>
            <w:shd w:val="clear" w:color="auto" w:fill="auto"/>
          </w:tcPr>
          <w:p w14:paraId="309AF170" w14:textId="317795BB"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9.1</w:t>
            </w:r>
          </w:p>
        </w:tc>
        <w:tc>
          <w:tcPr>
            <w:tcW w:w="7654" w:type="dxa"/>
            <w:shd w:val="clear" w:color="auto" w:fill="auto"/>
          </w:tcPr>
          <w:p w14:paraId="0DE2BD5F" w14:textId="4B2A6422" w:rsidR="00F26067" w:rsidRPr="00844DC7" w:rsidRDefault="00B731E6" w:rsidP="007750BC">
            <w:pPr>
              <w:spacing w:after="120"/>
              <w:jc w:val="both"/>
              <w:rPr>
                <w:rFonts w:ascii="Times New Roman" w:eastAsiaTheme="minorHAnsi" w:hAnsi="Times New Roman" w:cs="Times New Roman"/>
                <w:b/>
                <w:bCs/>
                <w:sz w:val="24"/>
              </w:rPr>
            </w:pPr>
            <w:r w:rsidRPr="00844DC7">
              <w:rPr>
                <w:rFonts w:ascii="Times New Roman" w:hAnsi="Times New Roman"/>
                <w:b/>
                <w:sz w:val="24"/>
              </w:rPr>
              <w:t>Esposizioni garantite da ipoteche su beni immobili residenziali – non</w:t>
            </w:r>
            <w:r w:rsidR="000F63A1" w:rsidRPr="00844DC7">
              <w:rPr>
                <w:rFonts w:ascii="Times New Roman" w:hAnsi="Times New Roman"/>
                <w:b/>
                <w:sz w:val="24"/>
              </w:rPr>
              <w:noBreakHyphen/>
            </w:r>
            <w:r w:rsidRPr="00844DC7">
              <w:rPr>
                <w:rFonts w:ascii="Times New Roman" w:hAnsi="Times New Roman"/>
                <w:b/>
                <w:sz w:val="24"/>
              </w:rPr>
              <w:t>IPRE</w:t>
            </w:r>
          </w:p>
          <w:p w14:paraId="1A8747F6" w14:textId="7A246C75" w:rsidR="00F26067" w:rsidRPr="00844DC7" w:rsidRDefault="00F26067" w:rsidP="007750BC">
            <w:pPr>
              <w:spacing w:after="120"/>
              <w:jc w:val="both"/>
              <w:rPr>
                <w:rFonts w:ascii="Times New Roman" w:hAnsi="Times New Roman" w:cs="Times New Roman"/>
                <w:bCs/>
                <w:sz w:val="24"/>
              </w:rPr>
            </w:pPr>
            <w:r w:rsidRPr="00844DC7">
              <w:rPr>
                <w:rFonts w:ascii="Times New Roman" w:hAnsi="Times New Roman"/>
                <w:sz w:val="24"/>
              </w:rPr>
              <w:t>In questa riga sono indicate le esposizioni trattate conformemente all</w:t>
            </w:r>
            <w:r w:rsidR="00F16DA0" w:rsidRPr="00844DC7">
              <w:rPr>
                <w:rFonts w:ascii="Times New Roman" w:hAnsi="Times New Roman"/>
                <w:sz w:val="24"/>
              </w:rPr>
              <w:t>'</w:t>
            </w:r>
            <w:r w:rsidRPr="00844DC7">
              <w:rPr>
                <w:rFonts w:ascii="Times New Roman" w:hAnsi="Times New Roman"/>
                <w:sz w:val="24"/>
              </w:rPr>
              <w:t>articolo 125, paragrafo 1, del regolamento (UE) n. 575/2013.</w:t>
            </w:r>
          </w:p>
          <w:p w14:paraId="739769BE" w14:textId="291CF3D7" w:rsidR="00FB64CF" w:rsidRPr="00844DC7" w:rsidRDefault="007750BC" w:rsidP="007750BC">
            <w:pPr>
              <w:spacing w:after="120"/>
              <w:jc w:val="both"/>
              <w:rPr>
                <w:rFonts w:ascii="Times New Roman" w:eastAsiaTheme="minorHAnsi" w:hAnsi="Times New Roman"/>
                <w:sz w:val="24"/>
              </w:rPr>
            </w:pPr>
            <w:r w:rsidRPr="00844DC7">
              <w:t xml:space="preserve"> </w:t>
            </w:r>
            <w:r w:rsidRPr="00844DC7">
              <w:br/>
            </w:r>
            <w:r w:rsidRPr="00844DC7">
              <w:rPr>
                <w:rFonts w:ascii="Times New Roman" w:hAnsi="Times New Roman"/>
                <w:sz w:val="24"/>
              </w:rPr>
              <w:t>In questa riga sono altresì indicate: le altre esposizioni garantite da ipoteche su immobili residenziali – non-IPRE che non soddisfano le condizioni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1, lettera</w:t>
            </w:r>
            <w:r w:rsidR="000F63A1" w:rsidRPr="00844DC7">
              <w:rPr>
                <w:rFonts w:ascii="Times New Roman" w:hAnsi="Times New Roman"/>
                <w:sz w:val="24"/>
              </w:rPr>
              <w:t> </w:t>
            </w:r>
            <w:r w:rsidRPr="00844DC7">
              <w:rPr>
                <w:rFonts w:ascii="Times New Roman" w:hAnsi="Times New Roman"/>
                <w:sz w:val="24"/>
              </w:rPr>
              <w:t>a), di tale regolamento.</w:t>
            </w:r>
          </w:p>
          <w:p w14:paraId="432D1633" w14:textId="5C6396A7" w:rsidR="004E3D87" w:rsidRPr="00844DC7" w:rsidRDefault="004E3D87" w:rsidP="007750BC">
            <w:pPr>
              <w:spacing w:after="120"/>
              <w:jc w:val="both"/>
              <w:rPr>
                <w:rFonts w:ascii="Times New Roman" w:hAnsi="Times New Roman" w:cs="Times New Roman"/>
                <w:bCs/>
                <w:sz w:val="24"/>
              </w:rPr>
            </w:pPr>
            <w:r w:rsidRPr="00844DC7">
              <w:rPr>
                <w:rFonts w:ascii="Times New Roman" w:hAnsi="Times New Roman"/>
                <w:sz w:val="24"/>
              </w:rPr>
              <w:t>Questa riga è la somma delle righe 9.1.1, 9.1.2 e 9.1.3.</w:t>
            </w:r>
          </w:p>
        </w:tc>
      </w:tr>
      <w:tr w:rsidR="00B731E6" w:rsidRPr="00844DC7" w14:paraId="3757A5E1" w14:textId="77777777" w:rsidTr="5A0D947F">
        <w:trPr>
          <w:trHeight w:val="507"/>
        </w:trPr>
        <w:tc>
          <w:tcPr>
            <w:tcW w:w="1413" w:type="dxa"/>
            <w:shd w:val="clear" w:color="auto" w:fill="auto"/>
          </w:tcPr>
          <w:p w14:paraId="6947CF4E" w14:textId="20DCDB33"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9.1.1</w:t>
            </w:r>
          </w:p>
        </w:tc>
        <w:tc>
          <w:tcPr>
            <w:tcW w:w="7654" w:type="dxa"/>
            <w:shd w:val="clear" w:color="auto" w:fill="auto"/>
          </w:tcPr>
          <w:p w14:paraId="7643D411" w14:textId="53D2093F" w:rsidR="00F26067" w:rsidRPr="00844DC7" w:rsidRDefault="00F26067" w:rsidP="00B731E6">
            <w:pPr>
              <w:spacing w:after="120"/>
              <w:jc w:val="both"/>
              <w:rPr>
                <w:rFonts w:ascii="Times New Roman" w:eastAsiaTheme="minorHAnsi" w:hAnsi="Times New Roman" w:cs="Times New Roman"/>
                <w:b/>
                <w:bCs/>
                <w:sz w:val="24"/>
              </w:rPr>
            </w:pPr>
            <w:r w:rsidRPr="00844DC7">
              <w:rPr>
                <w:rFonts w:ascii="Times New Roman" w:hAnsi="Times New Roman"/>
                <w:b/>
                <w:sz w:val="24"/>
              </w:rPr>
              <w:t>Senza applicare la ripartizione dei mutui</w:t>
            </w:r>
          </w:p>
          <w:p w14:paraId="02E8C845" w14:textId="1D272562" w:rsidR="00B731E6" w:rsidRPr="00844DC7" w:rsidRDefault="00F26067" w:rsidP="00B731E6">
            <w:pPr>
              <w:spacing w:after="120"/>
              <w:jc w:val="both"/>
              <w:rPr>
                <w:rFonts w:ascii="Times New Roman" w:eastAsiaTheme="minorHAnsi" w:hAnsi="Times New Roman" w:cs="Times New Roman"/>
                <w:sz w:val="24"/>
              </w:rPr>
            </w:pPr>
            <w:r w:rsidRPr="00844DC7">
              <w:rPr>
                <w:rFonts w:ascii="Times New Roman" w:hAnsi="Times New Roman"/>
                <w:sz w:val="24"/>
              </w:rPr>
              <w:t>Esposizioni garantite da ipoteche su immobili residenziali – non-IPRE cui non si applica il metodo della ripartizione dei mutui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125, paragrafo 1, del regolamento (UE) n. 575/2013. </w:t>
            </w:r>
          </w:p>
        </w:tc>
      </w:tr>
      <w:tr w:rsidR="00B731E6" w:rsidRPr="00844DC7" w14:paraId="7102D657" w14:textId="77777777" w:rsidTr="5A0D947F">
        <w:trPr>
          <w:trHeight w:val="507"/>
        </w:trPr>
        <w:tc>
          <w:tcPr>
            <w:tcW w:w="1413" w:type="dxa"/>
            <w:shd w:val="clear" w:color="auto" w:fill="auto"/>
          </w:tcPr>
          <w:p w14:paraId="38838607" w14:textId="5063C525"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9.1.2</w:t>
            </w:r>
          </w:p>
        </w:tc>
        <w:tc>
          <w:tcPr>
            <w:tcW w:w="7654" w:type="dxa"/>
            <w:shd w:val="clear" w:color="auto" w:fill="auto"/>
          </w:tcPr>
          <w:p w14:paraId="0F9D3D69" w14:textId="1E8EFD2D" w:rsidR="00F26067" w:rsidRPr="00844DC7" w:rsidRDefault="00F26067" w:rsidP="5A0D947F">
            <w:pPr>
              <w:spacing w:after="120"/>
              <w:jc w:val="both"/>
              <w:rPr>
                <w:rFonts w:ascii="Times New Roman" w:hAnsi="Times New Roman" w:cs="Times New Roman"/>
                <w:b/>
                <w:bCs/>
                <w:sz w:val="24"/>
              </w:rPr>
            </w:pPr>
            <w:r w:rsidRPr="00844DC7">
              <w:rPr>
                <w:rFonts w:ascii="Times New Roman" w:hAnsi="Times New Roman"/>
                <w:b/>
                <w:sz w:val="24"/>
              </w:rPr>
              <w:t>Applicando la ripartizione dei mutui (con garanzia)</w:t>
            </w:r>
          </w:p>
          <w:p w14:paraId="28B98A7E" w14:textId="6E176304"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Parte garantita delle esposizioni garantite da ipoteche su immobili residenziali cui si applica il metodo della ripartizione dei mutui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125, paragrafo 1, lettera a),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0CDDB3DF" w14:textId="77777777" w:rsidTr="5A0D947F">
        <w:trPr>
          <w:trHeight w:val="507"/>
        </w:trPr>
        <w:tc>
          <w:tcPr>
            <w:tcW w:w="1413" w:type="dxa"/>
            <w:shd w:val="clear" w:color="auto" w:fill="auto"/>
          </w:tcPr>
          <w:p w14:paraId="14E5CE41" w14:textId="2C251DBD"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9.1.3</w:t>
            </w:r>
          </w:p>
        </w:tc>
        <w:tc>
          <w:tcPr>
            <w:tcW w:w="7654" w:type="dxa"/>
            <w:shd w:val="clear" w:color="auto" w:fill="auto"/>
          </w:tcPr>
          <w:p w14:paraId="276011BB" w14:textId="26F29D4D" w:rsidR="00F26067" w:rsidRPr="00844DC7" w:rsidRDefault="00F26067" w:rsidP="5A0D947F">
            <w:pPr>
              <w:spacing w:after="120"/>
              <w:jc w:val="both"/>
              <w:rPr>
                <w:rFonts w:ascii="Times New Roman" w:hAnsi="Times New Roman" w:cs="Times New Roman"/>
                <w:b/>
                <w:bCs/>
                <w:sz w:val="24"/>
              </w:rPr>
            </w:pPr>
            <w:r w:rsidRPr="00844DC7">
              <w:rPr>
                <w:rFonts w:ascii="Times New Roman" w:hAnsi="Times New Roman"/>
                <w:b/>
                <w:sz w:val="24"/>
              </w:rPr>
              <w:t>Applicando la ripartizione dei mutui (senza garanzia)</w:t>
            </w:r>
          </w:p>
          <w:p w14:paraId="4F2656D3" w14:textId="02830544" w:rsidR="00B731E6" w:rsidRPr="00844DC7" w:rsidRDefault="00F26067" w:rsidP="5A0D947F">
            <w:pPr>
              <w:spacing w:after="120"/>
              <w:jc w:val="both"/>
              <w:rPr>
                <w:rFonts w:ascii="Times New Roman" w:hAnsi="Times New Roman" w:cs="Times New Roman"/>
                <w:sz w:val="24"/>
              </w:rPr>
            </w:pPr>
            <w:r w:rsidRPr="00844DC7">
              <w:rPr>
                <w:rFonts w:ascii="Times New Roman" w:hAnsi="Times New Roman"/>
                <w:sz w:val="24"/>
              </w:rPr>
              <w:t>Parte restante delle esposizioni garantite da ipoteche su immobili residenziali cui si applica il metodo della ripartizione dei mutui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 xml:space="preserve">125, paragrafo 1,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w:t>
            </w:r>
          </w:p>
        </w:tc>
      </w:tr>
      <w:tr w:rsidR="00B731E6" w:rsidRPr="00844DC7" w14:paraId="2B7F44F7" w14:textId="77777777" w:rsidTr="5A0D947F">
        <w:trPr>
          <w:trHeight w:val="507"/>
        </w:trPr>
        <w:tc>
          <w:tcPr>
            <w:tcW w:w="1413" w:type="dxa"/>
            <w:shd w:val="clear" w:color="auto" w:fill="auto"/>
          </w:tcPr>
          <w:p w14:paraId="304A35F9" w14:textId="540EF342"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9.2</w:t>
            </w:r>
          </w:p>
        </w:tc>
        <w:tc>
          <w:tcPr>
            <w:tcW w:w="7654" w:type="dxa"/>
            <w:shd w:val="clear" w:color="auto" w:fill="auto"/>
          </w:tcPr>
          <w:p w14:paraId="70C82B6D" w14:textId="2D504FDB" w:rsidR="00AF565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Esposizioni garantite da ipoteche su beni immobili residenziali – IPRE</w:t>
            </w:r>
          </w:p>
          <w:p w14:paraId="4E83C986" w14:textId="25A5F1F2"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In questa riga sono segnalate le esposizioni rientranti nella definizione di cui all</w:t>
            </w:r>
            <w:r w:rsidR="00F16DA0" w:rsidRPr="00844DC7">
              <w:rPr>
                <w:rFonts w:ascii="Times New Roman" w:hAnsi="Times New Roman"/>
                <w:sz w:val="24"/>
              </w:rPr>
              <w:t>'</w:t>
            </w:r>
            <w:r w:rsidRPr="00844DC7">
              <w:rPr>
                <w:rFonts w:ascii="Times New Roman" w:hAnsi="Times New Roman"/>
                <w:sz w:val="24"/>
              </w:rPr>
              <w:t xml:space="preserve">articolo 4, paragrafo 1, punto 75 ter), del </w:t>
            </w:r>
            <w:r w:rsidRPr="00844DC7">
              <w:rPr>
                <w:rFonts w:ascii="Times New Roman" w:hAnsi="Times New Roman"/>
                <w:color w:val="000000" w:themeColor="text1"/>
                <w:sz w:val="24"/>
              </w:rPr>
              <w:t>regolamento (UE) n. 575/2013</w:t>
            </w:r>
            <w:r w:rsidRPr="00844DC7">
              <w:rPr>
                <w:rFonts w:ascii="Times New Roman" w:hAnsi="Times New Roman"/>
                <w:sz w:val="24"/>
              </w:rPr>
              <w:t>.</w:t>
            </w:r>
          </w:p>
          <w:p w14:paraId="46AB10B2" w14:textId="77777777" w:rsidR="008D77B1" w:rsidRPr="00844DC7" w:rsidRDefault="00BC2787" w:rsidP="5A0D947F">
            <w:pPr>
              <w:spacing w:after="120"/>
              <w:jc w:val="both"/>
              <w:rPr>
                <w:rFonts w:ascii="Times New Roman" w:hAnsi="Times New Roman" w:cs="Times New Roman"/>
                <w:sz w:val="24"/>
              </w:rPr>
            </w:pPr>
            <w:r w:rsidRPr="00844DC7">
              <w:rPr>
                <w:rFonts w:ascii="Times New Roman" w:hAnsi="Times New Roman"/>
                <w:sz w:val="24"/>
              </w:rPr>
              <w:t xml:space="preserve">In questa riga sono altresì indicate: </w:t>
            </w:r>
          </w:p>
          <w:p w14:paraId="56D10EDE" w14:textId="229039F2" w:rsidR="008D77B1" w:rsidRPr="00844DC7" w:rsidRDefault="008D77B1" w:rsidP="5A0D947F">
            <w:pPr>
              <w:spacing w:after="120"/>
              <w:jc w:val="both"/>
              <w:rPr>
                <w:rFonts w:ascii="Times New Roman" w:eastAsiaTheme="minorHAnsi" w:hAnsi="Times New Roman" w:cs="Times New Roman"/>
                <w:sz w:val="24"/>
              </w:rPr>
            </w:pPr>
            <w:r w:rsidRPr="00844DC7">
              <w:rPr>
                <w:rFonts w:ascii="Times New Roman" w:hAnsi="Times New Roman"/>
                <w:sz w:val="24"/>
              </w:rPr>
              <w:t>- le altre esposizioni garantite da ipoteche su immobili residenziali – IPRE che non soddisfano le condizioni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124, paragrafo</w:t>
            </w:r>
            <w:r w:rsidR="000F63A1"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 1, lettera b), di tale regolamento;</w:t>
            </w:r>
          </w:p>
          <w:p w14:paraId="54B1CD31" w14:textId="6DAEE319" w:rsidR="00DE1541" w:rsidRPr="00844DC7" w:rsidRDefault="008D77B1" w:rsidP="5A0D947F">
            <w:pPr>
              <w:spacing w:after="120"/>
              <w:jc w:val="both"/>
              <w:rPr>
                <w:rFonts w:ascii="Times New Roman" w:hAnsi="Times New Roman" w:cs="Times New Roman"/>
                <w:bCs/>
                <w:sz w:val="24"/>
              </w:rPr>
            </w:pPr>
            <w:r w:rsidRPr="00844DC7">
              <w:rPr>
                <w:rFonts w:ascii="Times New Roman" w:hAnsi="Times New Roman"/>
                <w:sz w:val="24"/>
              </w:rPr>
              <w:t>- le esposizioni IPRE che soddisfano una qualsiasi delle condizioni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w:t>
            </w:r>
            <w:r w:rsidR="00F16DA0" w:rsidRPr="00844DC7">
              <w:rPr>
                <w:rFonts w:ascii="Times New Roman" w:hAnsi="Times New Roman"/>
                <w:sz w:val="24"/>
              </w:rPr>
              <w:t> </w:t>
            </w:r>
            <w:r w:rsidRPr="00844DC7">
              <w:rPr>
                <w:rFonts w:ascii="Times New Roman" w:hAnsi="Times New Roman"/>
                <w:sz w:val="24"/>
              </w:rPr>
              <w:t>2, lettera</w:t>
            </w:r>
            <w:r w:rsidR="00F16DA0" w:rsidRPr="00844DC7">
              <w:rPr>
                <w:rFonts w:ascii="Times New Roman" w:hAnsi="Times New Roman"/>
                <w:sz w:val="24"/>
              </w:rPr>
              <w:t> </w:t>
            </w:r>
            <w:r w:rsidRPr="00844DC7">
              <w:rPr>
                <w:rFonts w:ascii="Times New Roman" w:hAnsi="Times New Roman"/>
                <w:sz w:val="24"/>
              </w:rPr>
              <w:t>a), punto</w:t>
            </w:r>
            <w:r w:rsidR="00F16DA0" w:rsidRPr="00844DC7">
              <w:rPr>
                <w:rFonts w:ascii="Times New Roman" w:hAnsi="Times New Roman"/>
                <w:sz w:val="24"/>
              </w:rPr>
              <w:t> </w:t>
            </w:r>
            <w:r w:rsidRPr="00844DC7">
              <w:rPr>
                <w:rFonts w:ascii="Times New Roman" w:hAnsi="Times New Roman"/>
                <w:sz w:val="24"/>
              </w:rPr>
              <w:t xml:space="preserve">ii), punti da 1) a 4), del regolamento (UE) n. 575/2013; </w:t>
            </w:r>
          </w:p>
          <w:p w14:paraId="2A0561A2" w14:textId="56FD2ED3" w:rsidR="00BC2787" w:rsidRPr="00844DC7" w:rsidRDefault="00DE1541" w:rsidP="5A0D947F">
            <w:pPr>
              <w:spacing w:after="120"/>
              <w:jc w:val="both"/>
              <w:rPr>
                <w:rFonts w:ascii="Times New Roman" w:hAnsi="Times New Roman" w:cs="Times New Roman"/>
                <w:sz w:val="24"/>
              </w:rPr>
            </w:pPr>
            <w:r w:rsidRPr="00844DC7">
              <w:rPr>
                <w:rFonts w:ascii="Times New Roman" w:hAnsi="Times New Roman"/>
                <w:sz w:val="24"/>
              </w:rPr>
              <w:lastRenderedPageBreak/>
              <w:t>- le esposizioni IPRE cui si applica la deroga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125, paragrafo</w:t>
            </w:r>
            <w:r w:rsidR="00F16DA0" w:rsidRPr="00844DC7">
              <w:rPr>
                <w:rFonts w:ascii="Times New Roman" w:hAnsi="Times New Roman"/>
                <w:sz w:val="24"/>
              </w:rPr>
              <w:t> </w:t>
            </w:r>
            <w:r w:rsidRPr="00844DC7">
              <w:rPr>
                <w:rFonts w:ascii="Times New Roman" w:hAnsi="Times New Roman"/>
                <w:sz w:val="24"/>
              </w:rPr>
              <w:t>2, del regolamento (UE) n. 575/2013.</w:t>
            </w:r>
          </w:p>
        </w:tc>
      </w:tr>
      <w:tr w:rsidR="00B731E6" w:rsidRPr="00844DC7" w14:paraId="755FF524" w14:textId="77777777" w:rsidTr="5A0D947F">
        <w:trPr>
          <w:trHeight w:val="507"/>
        </w:trPr>
        <w:tc>
          <w:tcPr>
            <w:tcW w:w="1413" w:type="dxa"/>
            <w:shd w:val="clear" w:color="auto" w:fill="auto"/>
          </w:tcPr>
          <w:p w14:paraId="4C858BA6" w14:textId="2DD3BA13"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lastRenderedPageBreak/>
              <w:t>9.3</w:t>
            </w:r>
          </w:p>
        </w:tc>
        <w:tc>
          <w:tcPr>
            <w:tcW w:w="7654" w:type="dxa"/>
            <w:shd w:val="clear" w:color="auto" w:fill="auto"/>
          </w:tcPr>
          <w:p w14:paraId="1FB5BC8C" w14:textId="672BAF9E" w:rsidR="00AF5657" w:rsidRPr="00844DC7" w:rsidRDefault="00B731E6" w:rsidP="00B731E6">
            <w:pPr>
              <w:spacing w:after="120"/>
              <w:jc w:val="both"/>
              <w:rPr>
                <w:rFonts w:ascii="Times New Roman" w:eastAsiaTheme="minorHAnsi" w:hAnsi="Times New Roman" w:cs="Times New Roman"/>
                <w:b/>
                <w:bCs/>
                <w:sz w:val="24"/>
              </w:rPr>
            </w:pPr>
            <w:r w:rsidRPr="00844DC7">
              <w:rPr>
                <w:rFonts w:ascii="Times New Roman" w:hAnsi="Times New Roman"/>
                <w:b/>
                <w:sz w:val="24"/>
              </w:rPr>
              <w:t>Esposizioni garantite da ipoteche su immobili non residenziali – non</w:t>
            </w:r>
            <w:r w:rsidR="000F63A1" w:rsidRPr="00844DC7">
              <w:rPr>
                <w:rFonts w:ascii="Times New Roman" w:hAnsi="Times New Roman"/>
                <w:b/>
                <w:sz w:val="24"/>
              </w:rPr>
              <w:noBreakHyphen/>
            </w:r>
            <w:r w:rsidRPr="00844DC7">
              <w:rPr>
                <w:rFonts w:ascii="Times New Roman" w:hAnsi="Times New Roman"/>
                <w:b/>
                <w:sz w:val="24"/>
              </w:rPr>
              <w:t>IPRE</w:t>
            </w:r>
          </w:p>
          <w:p w14:paraId="6D774530" w14:textId="5257738E" w:rsidR="00B731E6" w:rsidRPr="00844DC7" w:rsidRDefault="00AF5657" w:rsidP="00B731E6">
            <w:pPr>
              <w:spacing w:after="120"/>
              <w:jc w:val="both"/>
              <w:rPr>
                <w:rFonts w:ascii="Times New Roman" w:hAnsi="Times New Roman" w:cs="Times New Roman"/>
                <w:bCs/>
                <w:sz w:val="24"/>
              </w:rPr>
            </w:pPr>
            <w:r w:rsidRPr="00844DC7">
              <w:rPr>
                <w:rFonts w:ascii="Times New Roman" w:hAnsi="Times New Roman"/>
                <w:sz w:val="24"/>
              </w:rPr>
              <w:t>In questa riga sono indicate le esposizioni trattate conformemente all</w:t>
            </w:r>
            <w:r w:rsidR="00F16DA0" w:rsidRPr="00844DC7">
              <w:rPr>
                <w:rFonts w:ascii="Times New Roman" w:hAnsi="Times New Roman"/>
                <w:sz w:val="24"/>
              </w:rPr>
              <w:t>'</w:t>
            </w:r>
            <w:r w:rsidRPr="00844DC7">
              <w:rPr>
                <w:rFonts w:ascii="Times New Roman" w:hAnsi="Times New Roman"/>
                <w:sz w:val="24"/>
              </w:rPr>
              <w:t>articolo 126, paragrafo 1, del regolamento (UE) n. 575/2013.</w:t>
            </w:r>
          </w:p>
          <w:p w14:paraId="7E6B1435" w14:textId="24E938E4" w:rsidR="00DA7EF5" w:rsidRPr="00844DC7" w:rsidRDefault="0033556A" w:rsidP="00B731E6">
            <w:pPr>
              <w:spacing w:after="120"/>
              <w:jc w:val="both"/>
              <w:rPr>
                <w:rFonts w:ascii="Times New Roman" w:hAnsi="Times New Roman" w:cs="Times New Roman"/>
                <w:bCs/>
                <w:sz w:val="24"/>
              </w:rPr>
            </w:pPr>
            <w:r w:rsidRPr="00844DC7">
              <w:rPr>
                <w:rFonts w:ascii="Times New Roman" w:hAnsi="Times New Roman"/>
                <w:sz w:val="24"/>
              </w:rPr>
              <w:t>In questa riga sono altresì indicate: le altre esposizioni garantite da ipoteche su immobili non residenziali – non-IPRE che non soddisfano le condizioni di cui all</w:t>
            </w:r>
            <w:r w:rsidR="00F16DA0" w:rsidRPr="00844DC7">
              <w:rPr>
                <w:rFonts w:ascii="Times New Roman" w:hAnsi="Times New Roman"/>
                <w:sz w:val="24"/>
              </w:rPr>
              <w:t>'</w:t>
            </w:r>
            <w:r w:rsidRPr="00844DC7">
              <w:rPr>
                <w:rFonts w:ascii="Times New Roman" w:hAnsi="Times New Roman"/>
                <w:sz w:val="24"/>
              </w:rPr>
              <w:t>articolo 124, paragrafo 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w:t>
            </w:r>
            <w:r w:rsidR="00F16DA0" w:rsidRPr="00844DC7">
              <w:rPr>
                <w:rFonts w:ascii="Times New Roman" w:hAnsi="Times New Roman"/>
                <w:sz w:val="24"/>
              </w:rPr>
              <w:t> </w:t>
            </w:r>
            <w:r w:rsidRPr="00844DC7">
              <w:rPr>
                <w:rFonts w:ascii="Times New Roman" w:hAnsi="Times New Roman"/>
                <w:sz w:val="24"/>
              </w:rPr>
              <w:t>1, lettera</w:t>
            </w:r>
            <w:r w:rsidR="00F16DA0" w:rsidRPr="00844DC7">
              <w:rPr>
                <w:rFonts w:ascii="Times New Roman" w:hAnsi="Times New Roman"/>
                <w:sz w:val="24"/>
              </w:rPr>
              <w:t> </w:t>
            </w:r>
            <w:r w:rsidRPr="00844DC7">
              <w:rPr>
                <w:rFonts w:ascii="Times New Roman" w:hAnsi="Times New Roman"/>
                <w:sz w:val="24"/>
              </w:rPr>
              <w:t>a), di tale regolamento.</w:t>
            </w:r>
          </w:p>
          <w:p w14:paraId="3A4B49EE" w14:textId="21BC011B" w:rsidR="007E0548" w:rsidRPr="00844DC7" w:rsidRDefault="007E0548" w:rsidP="00B731E6">
            <w:pPr>
              <w:spacing w:after="120"/>
              <w:jc w:val="both"/>
              <w:rPr>
                <w:rFonts w:ascii="Times New Roman" w:eastAsiaTheme="minorHAnsi" w:hAnsi="Times New Roman" w:cs="Times New Roman"/>
                <w:sz w:val="24"/>
              </w:rPr>
            </w:pPr>
            <w:r w:rsidRPr="00844DC7">
              <w:rPr>
                <w:rFonts w:ascii="Times New Roman" w:hAnsi="Times New Roman"/>
                <w:sz w:val="24"/>
              </w:rPr>
              <w:t>Questa riga è la somma delle righe 9.3.1, 9.3.2 e 9.3.3.</w:t>
            </w:r>
          </w:p>
        </w:tc>
      </w:tr>
      <w:tr w:rsidR="00B731E6" w:rsidRPr="00844DC7" w14:paraId="2A6FA185" w14:textId="77777777" w:rsidTr="5A0D947F">
        <w:trPr>
          <w:trHeight w:val="507"/>
        </w:trPr>
        <w:tc>
          <w:tcPr>
            <w:tcW w:w="1413" w:type="dxa"/>
            <w:shd w:val="clear" w:color="auto" w:fill="auto"/>
          </w:tcPr>
          <w:p w14:paraId="49DC0412" w14:textId="50C2D05B"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9.3.1</w:t>
            </w:r>
          </w:p>
        </w:tc>
        <w:tc>
          <w:tcPr>
            <w:tcW w:w="7654" w:type="dxa"/>
            <w:shd w:val="clear" w:color="auto" w:fill="auto"/>
          </w:tcPr>
          <w:p w14:paraId="6F533409" w14:textId="44833E01" w:rsidR="00AF5657" w:rsidRPr="00844DC7" w:rsidRDefault="00AF5657" w:rsidP="5A0D947F">
            <w:pPr>
              <w:spacing w:after="120"/>
              <w:jc w:val="both"/>
              <w:rPr>
                <w:rFonts w:ascii="Times New Roman" w:hAnsi="Times New Roman" w:cs="Times New Roman"/>
                <w:b/>
                <w:bCs/>
                <w:sz w:val="24"/>
              </w:rPr>
            </w:pPr>
            <w:r w:rsidRPr="00844DC7">
              <w:rPr>
                <w:rFonts w:ascii="Times New Roman" w:hAnsi="Times New Roman"/>
                <w:b/>
                <w:sz w:val="24"/>
              </w:rPr>
              <w:t>Senza applicare la ripartizione dei mutui</w:t>
            </w:r>
          </w:p>
          <w:p w14:paraId="189515BD" w14:textId="650F23A8"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Esposizioni garantite da ipoteche su immobili non residenziali cui non si applica il metodo della ripartizione dei mutui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126, paragrafo</w:t>
            </w:r>
            <w:r w:rsidR="00F16DA0" w:rsidRPr="00844DC7">
              <w:rPr>
                <w:rFonts w:ascii="Times New Roman" w:hAnsi="Times New Roman"/>
                <w:sz w:val="24"/>
              </w:rPr>
              <w:t> </w:t>
            </w:r>
            <w:r w:rsidRPr="00844DC7">
              <w:rPr>
                <w:rFonts w:ascii="Times New Roman" w:hAnsi="Times New Roman"/>
                <w:sz w:val="24"/>
              </w:rPr>
              <w:t xml:space="preserve">1,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536C5813" w14:textId="77777777" w:rsidTr="5A0D947F">
        <w:trPr>
          <w:trHeight w:val="507"/>
        </w:trPr>
        <w:tc>
          <w:tcPr>
            <w:tcW w:w="1413" w:type="dxa"/>
            <w:shd w:val="clear" w:color="auto" w:fill="auto"/>
          </w:tcPr>
          <w:p w14:paraId="17942517" w14:textId="2325CC59"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9.3.2</w:t>
            </w:r>
          </w:p>
        </w:tc>
        <w:tc>
          <w:tcPr>
            <w:tcW w:w="7654" w:type="dxa"/>
            <w:shd w:val="clear" w:color="auto" w:fill="auto"/>
          </w:tcPr>
          <w:p w14:paraId="2A4977BE" w14:textId="7C1D3936" w:rsidR="00AF5657" w:rsidRPr="00844DC7" w:rsidRDefault="00AF5657" w:rsidP="5A0D947F">
            <w:pPr>
              <w:spacing w:after="120"/>
              <w:jc w:val="both"/>
              <w:rPr>
                <w:rFonts w:ascii="Times New Roman" w:hAnsi="Times New Roman" w:cs="Times New Roman"/>
                <w:b/>
                <w:bCs/>
                <w:sz w:val="24"/>
              </w:rPr>
            </w:pPr>
            <w:r w:rsidRPr="00844DC7">
              <w:rPr>
                <w:rFonts w:ascii="Times New Roman" w:hAnsi="Times New Roman"/>
                <w:b/>
                <w:sz w:val="24"/>
              </w:rPr>
              <w:t>Applicando la ripartizione dei mutui (con garanzia)</w:t>
            </w:r>
          </w:p>
          <w:p w14:paraId="295F988E" w14:textId="15F409B7"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Parte garantita delle esposizioni garantite da ipoteche su immobili non residenziali cui si applica il metodo della ripartizione dei mutui di cui all</w:t>
            </w:r>
            <w:r w:rsidR="00F16DA0" w:rsidRPr="00844DC7">
              <w:rPr>
                <w:rFonts w:ascii="Times New Roman" w:hAnsi="Times New Roman"/>
                <w:sz w:val="24"/>
              </w:rPr>
              <w:t>'</w:t>
            </w:r>
            <w:r w:rsidRPr="00844DC7">
              <w:rPr>
                <w:rFonts w:ascii="Times New Roman" w:hAnsi="Times New Roman"/>
                <w:sz w:val="24"/>
              </w:rPr>
              <w:t xml:space="preserve">articolo 126, paragrafo 1,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32A17F28" w14:textId="77777777" w:rsidTr="5A0D947F">
        <w:trPr>
          <w:trHeight w:val="507"/>
        </w:trPr>
        <w:tc>
          <w:tcPr>
            <w:tcW w:w="1413" w:type="dxa"/>
            <w:shd w:val="clear" w:color="auto" w:fill="auto"/>
          </w:tcPr>
          <w:p w14:paraId="7E7BBE98" w14:textId="308FFA9D"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9.3.3</w:t>
            </w:r>
          </w:p>
        </w:tc>
        <w:tc>
          <w:tcPr>
            <w:tcW w:w="7654" w:type="dxa"/>
            <w:shd w:val="clear" w:color="auto" w:fill="auto"/>
          </w:tcPr>
          <w:p w14:paraId="4ECB5244" w14:textId="1E8E28D6" w:rsidR="00AF5657" w:rsidRPr="00844DC7" w:rsidRDefault="00AF5657" w:rsidP="5A0D947F">
            <w:pPr>
              <w:spacing w:after="120"/>
              <w:jc w:val="both"/>
              <w:rPr>
                <w:rFonts w:ascii="Times New Roman" w:hAnsi="Times New Roman" w:cs="Times New Roman"/>
                <w:b/>
                <w:bCs/>
                <w:sz w:val="24"/>
              </w:rPr>
            </w:pPr>
            <w:r w:rsidRPr="00844DC7">
              <w:rPr>
                <w:rFonts w:ascii="Times New Roman" w:hAnsi="Times New Roman"/>
                <w:b/>
                <w:sz w:val="24"/>
              </w:rPr>
              <w:t>Applicando la ripartizione dei mutui (senza garanzia)</w:t>
            </w:r>
          </w:p>
          <w:p w14:paraId="6C4BCA6C" w14:textId="0FE8EB47"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Parte restante delle esposizioni garantite da ipoteche su immobili non residenziali cui si applica il metodo della ripartizione dei mutui di cui all</w:t>
            </w:r>
            <w:r w:rsidR="00F16DA0" w:rsidRPr="00844DC7">
              <w:rPr>
                <w:rFonts w:ascii="Times New Roman" w:hAnsi="Times New Roman"/>
                <w:sz w:val="24"/>
              </w:rPr>
              <w:t>'</w:t>
            </w:r>
            <w:r w:rsidRPr="00844DC7">
              <w:rPr>
                <w:rFonts w:ascii="Times New Roman" w:hAnsi="Times New Roman"/>
                <w:sz w:val="24"/>
              </w:rPr>
              <w:t xml:space="preserve">articolo 126, paragrafo 1,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75CE8B5A" w14:textId="77777777" w:rsidTr="5A0D947F">
        <w:trPr>
          <w:trHeight w:val="507"/>
        </w:trPr>
        <w:tc>
          <w:tcPr>
            <w:tcW w:w="1413" w:type="dxa"/>
            <w:shd w:val="clear" w:color="auto" w:fill="auto"/>
          </w:tcPr>
          <w:p w14:paraId="7897E6FD" w14:textId="412E48BE"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9.4</w:t>
            </w:r>
          </w:p>
        </w:tc>
        <w:tc>
          <w:tcPr>
            <w:tcW w:w="7654" w:type="dxa"/>
            <w:shd w:val="clear" w:color="auto" w:fill="auto"/>
          </w:tcPr>
          <w:p w14:paraId="5DC2F5DD" w14:textId="1CB33C48" w:rsidR="00AF565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Esposizioni garantite da ipoteche su immobili non residenziali – IPRE</w:t>
            </w:r>
          </w:p>
          <w:p w14:paraId="6B5C20F3" w14:textId="759BB9A9"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In questa riga sono unicamente segnalate le esposizioni rientranti nella definizione di cui all</w:t>
            </w:r>
            <w:r w:rsidR="00F16DA0" w:rsidRPr="00844DC7">
              <w:rPr>
                <w:rFonts w:ascii="Times New Roman" w:hAnsi="Times New Roman"/>
                <w:sz w:val="24"/>
              </w:rPr>
              <w:t>'</w:t>
            </w:r>
            <w:r w:rsidRPr="00844DC7">
              <w:rPr>
                <w:rFonts w:ascii="Times New Roman" w:hAnsi="Times New Roman"/>
                <w:sz w:val="24"/>
              </w:rPr>
              <w:t>articolo</w:t>
            </w:r>
            <w:r w:rsidR="000F63A1" w:rsidRPr="00844DC7">
              <w:rPr>
                <w:rFonts w:ascii="Times New Roman" w:hAnsi="Times New Roman"/>
                <w:sz w:val="24"/>
              </w:rPr>
              <w:t> </w:t>
            </w:r>
            <w:r w:rsidRPr="00844DC7">
              <w:rPr>
                <w:rFonts w:ascii="Times New Roman" w:hAnsi="Times New Roman"/>
                <w:sz w:val="24"/>
              </w:rPr>
              <w:t>4, paragrafo 1, punto</w:t>
            </w:r>
            <w:r w:rsidR="000F63A1" w:rsidRPr="00844DC7">
              <w:rPr>
                <w:rFonts w:ascii="Times New Roman" w:hAnsi="Times New Roman"/>
                <w:sz w:val="24"/>
              </w:rPr>
              <w:t> </w:t>
            </w:r>
            <w:r w:rsidRPr="00844DC7">
              <w:rPr>
                <w:rFonts w:ascii="Times New Roman" w:hAnsi="Times New Roman"/>
                <w:sz w:val="24"/>
              </w:rPr>
              <w:t>75</w:t>
            </w:r>
            <w:r w:rsidR="000F63A1" w:rsidRPr="00844DC7">
              <w:rPr>
                <w:rFonts w:ascii="Times New Roman" w:hAnsi="Times New Roman"/>
                <w:sz w:val="24"/>
              </w:rPr>
              <w:t> </w:t>
            </w:r>
            <w:r w:rsidRPr="00844DC7">
              <w:rPr>
                <w:rFonts w:ascii="Times New Roman" w:hAnsi="Times New Roman"/>
                <w:sz w:val="24"/>
              </w:rPr>
              <w:t>ter), e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w:t>
            </w:r>
            <w:r w:rsidR="00F16DA0" w:rsidRPr="00844DC7">
              <w:rPr>
                <w:rFonts w:ascii="Times New Roman" w:hAnsi="Times New Roman"/>
                <w:sz w:val="24"/>
              </w:rPr>
              <w:t> </w:t>
            </w:r>
            <w:r w:rsidRPr="00844DC7">
              <w:rPr>
                <w:rFonts w:ascii="Times New Roman" w:hAnsi="Times New Roman"/>
                <w:sz w:val="24"/>
              </w:rPr>
              <w:t>2, lettera</w:t>
            </w:r>
            <w:r w:rsidR="00F16DA0" w:rsidRPr="00844DC7">
              <w:rPr>
                <w:rFonts w:ascii="Times New Roman" w:hAnsi="Times New Roman"/>
                <w:sz w:val="24"/>
              </w:rPr>
              <w:t> </w:t>
            </w:r>
            <w:r w:rsidRPr="00844DC7">
              <w:rPr>
                <w:rFonts w:ascii="Times New Roman" w:hAnsi="Times New Roman"/>
                <w:sz w:val="24"/>
              </w:rPr>
              <w:t>b), punto</w:t>
            </w:r>
            <w:r w:rsidR="00F16DA0" w:rsidRPr="00844DC7">
              <w:rPr>
                <w:rFonts w:ascii="Times New Roman" w:hAnsi="Times New Roman"/>
                <w:sz w:val="24"/>
              </w:rPr>
              <w:t> </w:t>
            </w:r>
            <w:r w:rsidRPr="00844DC7">
              <w:rPr>
                <w:rFonts w:ascii="Times New Roman" w:hAnsi="Times New Roman"/>
                <w:sz w:val="24"/>
              </w:rPr>
              <w:t xml:space="preserve">ii),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w:t>
            </w:r>
          </w:p>
          <w:p w14:paraId="753C2F57" w14:textId="77777777" w:rsidR="008D77B1" w:rsidRPr="00844DC7" w:rsidRDefault="00DA7EF5" w:rsidP="5A0D947F">
            <w:pPr>
              <w:spacing w:after="120"/>
              <w:jc w:val="both"/>
              <w:rPr>
                <w:rFonts w:ascii="Times New Roman" w:hAnsi="Times New Roman" w:cs="Times New Roman"/>
                <w:sz w:val="24"/>
              </w:rPr>
            </w:pPr>
            <w:r w:rsidRPr="00844DC7">
              <w:rPr>
                <w:rFonts w:ascii="Times New Roman" w:hAnsi="Times New Roman"/>
                <w:sz w:val="24"/>
              </w:rPr>
              <w:t>In questa riga sono altresì indicate:</w:t>
            </w:r>
          </w:p>
          <w:p w14:paraId="5FECF5F7" w14:textId="07AED36C" w:rsidR="008D77B1" w:rsidRPr="00844DC7" w:rsidRDefault="008D77B1" w:rsidP="5A0D947F">
            <w:pPr>
              <w:spacing w:after="120"/>
              <w:jc w:val="both"/>
              <w:rPr>
                <w:rFonts w:ascii="Times New Roman" w:eastAsiaTheme="minorHAnsi" w:hAnsi="Times New Roman" w:cs="Times New Roman"/>
                <w:sz w:val="24"/>
              </w:rPr>
            </w:pPr>
            <w:r w:rsidRPr="00844DC7">
              <w:rPr>
                <w:rFonts w:ascii="Times New Roman" w:hAnsi="Times New Roman"/>
                <w:sz w:val="24"/>
              </w:rPr>
              <w:t>- le altre esposizioni garantite da ipoteche su immobili non residenziali – IPRE che non soddisfano le condizioni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w:t>
            </w:r>
            <w:r w:rsidR="00F16DA0" w:rsidRPr="00844DC7">
              <w:rPr>
                <w:rFonts w:ascii="Times New Roman" w:hAnsi="Times New Roman"/>
                <w:sz w:val="24"/>
              </w:rPr>
              <w:t> </w:t>
            </w:r>
            <w:r w:rsidRPr="00844DC7">
              <w:rPr>
                <w:rFonts w:ascii="Times New Roman" w:hAnsi="Times New Roman"/>
                <w:sz w:val="24"/>
              </w:rPr>
              <w:t>3, del regolamento (UE) n. 575/2013 o qualsiasi parte di un</w:t>
            </w:r>
            <w:r w:rsidR="00F16DA0" w:rsidRPr="00844DC7">
              <w:rPr>
                <w:rFonts w:ascii="Times New Roman" w:hAnsi="Times New Roman"/>
                <w:sz w:val="24"/>
              </w:rPr>
              <w:t>'</w:t>
            </w:r>
            <w:r w:rsidRPr="00844DC7">
              <w:rPr>
                <w:rFonts w:ascii="Times New Roman" w:hAnsi="Times New Roman"/>
                <w:sz w:val="24"/>
              </w:rPr>
              <w:t>esposizione non ADC che superi l</w:t>
            </w:r>
            <w:r w:rsidR="00F16DA0" w:rsidRPr="00844DC7">
              <w:rPr>
                <w:rFonts w:ascii="Times New Roman" w:hAnsi="Times New Roman"/>
                <w:sz w:val="24"/>
              </w:rPr>
              <w:t>'</w:t>
            </w:r>
            <w:r w:rsidRPr="00844DC7">
              <w:rPr>
                <w:rFonts w:ascii="Times New Roman" w:hAnsi="Times New Roman"/>
                <w:sz w:val="24"/>
              </w:rPr>
              <w:t>importo nominale del gravame sull</w:t>
            </w:r>
            <w:r w:rsidR="00F16DA0" w:rsidRPr="00844DC7">
              <w:rPr>
                <w:rFonts w:ascii="Times New Roman" w:hAnsi="Times New Roman"/>
                <w:sz w:val="24"/>
              </w:rPr>
              <w:t>'</w:t>
            </w:r>
            <w:r w:rsidRPr="00844DC7">
              <w:rPr>
                <w:rFonts w:ascii="Times New Roman" w:hAnsi="Times New Roman"/>
                <w:sz w:val="24"/>
              </w:rPr>
              <w:t>immobile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124, paragrafo 1, lettera b), di tale regolamento;</w:t>
            </w:r>
          </w:p>
          <w:p w14:paraId="7685605B" w14:textId="1BC3B47B" w:rsidR="00DA7EF5" w:rsidRPr="00844DC7" w:rsidRDefault="008D77B1" w:rsidP="5A0D947F">
            <w:pPr>
              <w:spacing w:after="120"/>
              <w:jc w:val="both"/>
              <w:rPr>
                <w:rFonts w:ascii="Times New Roman" w:hAnsi="Times New Roman" w:cs="Times New Roman"/>
                <w:bCs/>
                <w:sz w:val="24"/>
              </w:rPr>
            </w:pPr>
            <w:r w:rsidRPr="00844DC7">
              <w:rPr>
                <w:rFonts w:ascii="Times New Roman" w:hAnsi="Times New Roman"/>
                <w:sz w:val="24"/>
              </w:rPr>
              <w:t>-</w:t>
            </w:r>
            <w:r w:rsidR="00F16DA0" w:rsidRPr="00844DC7">
              <w:rPr>
                <w:rFonts w:ascii="Times New Roman" w:hAnsi="Times New Roman"/>
                <w:sz w:val="24"/>
              </w:rPr>
              <w:t> </w:t>
            </w:r>
            <w:r w:rsidRPr="00844DC7">
              <w:rPr>
                <w:rFonts w:ascii="Times New Roman" w:hAnsi="Times New Roman"/>
                <w:sz w:val="24"/>
              </w:rPr>
              <w:t>le esposizioni IPRE cui si applica la deroga di cui all</w:t>
            </w:r>
            <w:r w:rsidR="00F16DA0" w:rsidRPr="00844DC7">
              <w:rPr>
                <w:rFonts w:ascii="Times New Roman" w:hAnsi="Times New Roman"/>
                <w:sz w:val="24"/>
              </w:rPr>
              <w:t>'</w:t>
            </w:r>
            <w:r w:rsidRPr="00844DC7">
              <w:rPr>
                <w:rFonts w:ascii="Times New Roman" w:hAnsi="Times New Roman"/>
                <w:sz w:val="24"/>
              </w:rPr>
              <w:t>articolo</w:t>
            </w:r>
            <w:r w:rsidR="00F16DA0" w:rsidRPr="00844DC7">
              <w:rPr>
                <w:rFonts w:ascii="Times New Roman" w:hAnsi="Times New Roman"/>
                <w:sz w:val="24"/>
              </w:rPr>
              <w:t> </w:t>
            </w:r>
            <w:r w:rsidRPr="00844DC7">
              <w:rPr>
                <w:rFonts w:ascii="Times New Roman" w:hAnsi="Times New Roman"/>
                <w:sz w:val="24"/>
              </w:rPr>
              <w:t>126, paragrafo</w:t>
            </w:r>
            <w:r w:rsidR="00F16DA0" w:rsidRPr="00844DC7">
              <w:rPr>
                <w:rFonts w:ascii="Times New Roman" w:hAnsi="Times New Roman"/>
                <w:sz w:val="24"/>
              </w:rPr>
              <w:t> </w:t>
            </w:r>
            <w:r w:rsidRPr="00844DC7">
              <w:rPr>
                <w:rFonts w:ascii="Times New Roman" w:hAnsi="Times New Roman"/>
                <w:sz w:val="24"/>
              </w:rPr>
              <w:t>2, del regolamento (UE) n. 575/2013.</w:t>
            </w:r>
          </w:p>
        </w:tc>
      </w:tr>
      <w:tr w:rsidR="00B731E6" w:rsidRPr="00844DC7" w14:paraId="20764392" w14:textId="77777777" w:rsidTr="5A0D947F">
        <w:trPr>
          <w:trHeight w:val="507"/>
        </w:trPr>
        <w:tc>
          <w:tcPr>
            <w:tcW w:w="1413" w:type="dxa"/>
            <w:shd w:val="clear" w:color="auto" w:fill="auto"/>
          </w:tcPr>
          <w:p w14:paraId="0FC4E51F" w14:textId="36B43C49"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9.5</w:t>
            </w:r>
          </w:p>
        </w:tc>
        <w:tc>
          <w:tcPr>
            <w:tcW w:w="7654" w:type="dxa"/>
            <w:shd w:val="clear" w:color="auto" w:fill="auto"/>
          </w:tcPr>
          <w:p w14:paraId="341A3252" w14:textId="49B1967E" w:rsidR="00AF5657" w:rsidRPr="00844DC7" w:rsidRDefault="0B701945" w:rsidP="5A0D947F">
            <w:pPr>
              <w:spacing w:after="120"/>
              <w:jc w:val="both"/>
              <w:rPr>
                <w:rFonts w:ascii="Times New Roman" w:hAnsi="Times New Roman" w:cs="Times New Roman"/>
                <w:b/>
                <w:bCs/>
                <w:sz w:val="24"/>
              </w:rPr>
            </w:pPr>
            <w:r w:rsidRPr="00844DC7">
              <w:rPr>
                <w:rFonts w:ascii="Times New Roman" w:hAnsi="Times New Roman"/>
                <w:b/>
                <w:sz w:val="24"/>
              </w:rPr>
              <w:t>Acquisizione, sviluppo e costruzione (ADC)</w:t>
            </w:r>
          </w:p>
          <w:p w14:paraId="0F969F9F" w14:textId="06003FCC" w:rsidR="00B731E6" w:rsidRPr="00844DC7" w:rsidRDefault="00AF5657" w:rsidP="5A0D947F">
            <w:pPr>
              <w:spacing w:after="120"/>
              <w:jc w:val="both"/>
              <w:rPr>
                <w:rFonts w:ascii="Times New Roman" w:hAnsi="Times New Roman" w:cs="Times New Roman"/>
                <w:sz w:val="24"/>
              </w:rPr>
            </w:pPr>
            <w:r w:rsidRPr="00844DC7">
              <w:rPr>
                <w:rFonts w:ascii="Times New Roman" w:hAnsi="Times New Roman"/>
                <w:sz w:val="24"/>
              </w:rPr>
              <w:t>In questa riga sono unicamente segnalate le esposizioni rientranti nella definizione di cui all</w:t>
            </w:r>
            <w:r w:rsidR="00F16DA0" w:rsidRPr="00844DC7">
              <w:rPr>
                <w:rFonts w:ascii="Times New Roman" w:hAnsi="Times New Roman"/>
                <w:sz w:val="24"/>
              </w:rPr>
              <w:t>'</w:t>
            </w:r>
            <w:r w:rsidRPr="00844DC7">
              <w:rPr>
                <w:rFonts w:ascii="Times New Roman" w:hAnsi="Times New Roman"/>
                <w:sz w:val="24"/>
              </w:rPr>
              <w:t xml:space="preserve">articolo 4, paragrafo 1, punto 78 bis),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B731E6" w:rsidRPr="00844DC7" w14:paraId="55E6C904" w14:textId="77777777" w:rsidTr="5A0D947F">
        <w:trPr>
          <w:trHeight w:val="4791"/>
        </w:trPr>
        <w:tc>
          <w:tcPr>
            <w:tcW w:w="1413" w:type="dxa"/>
          </w:tcPr>
          <w:p w14:paraId="1A19FACE" w14:textId="25B6BF34" w:rsidR="00B731E6" w:rsidRPr="00844DC7" w:rsidRDefault="6D7E96F7">
            <w:pPr>
              <w:spacing w:after="120"/>
              <w:jc w:val="both"/>
              <w:rPr>
                <w:rFonts w:ascii="Times New Roman" w:eastAsia="Times New Roman" w:hAnsi="Times New Roman" w:cs="Times New Roman"/>
                <w:sz w:val="24"/>
              </w:rPr>
            </w:pPr>
            <w:r w:rsidRPr="00844DC7">
              <w:rPr>
                <w:rFonts w:ascii="Times New Roman" w:hAnsi="Times New Roman"/>
                <w:sz w:val="24"/>
              </w:rPr>
              <w:lastRenderedPageBreak/>
              <w:t>EU 10c</w:t>
            </w:r>
          </w:p>
        </w:tc>
        <w:tc>
          <w:tcPr>
            <w:tcW w:w="7654" w:type="dxa"/>
          </w:tcPr>
          <w:p w14:paraId="44064BA9" w14:textId="08D5F5C0" w:rsidR="00AF5657" w:rsidRPr="00844DC7" w:rsidRDefault="00B731E6" w:rsidP="00B731E6">
            <w:pPr>
              <w:spacing w:after="120"/>
              <w:jc w:val="both"/>
              <w:rPr>
                <w:rFonts w:ascii="Times New Roman" w:eastAsiaTheme="minorHAnsi" w:hAnsi="Times New Roman" w:cs="Times New Roman"/>
                <w:b/>
                <w:bCs/>
                <w:sz w:val="24"/>
              </w:rPr>
            </w:pPr>
            <w:r w:rsidRPr="00844DC7">
              <w:rPr>
                <w:rFonts w:ascii="Times New Roman" w:hAnsi="Times New Roman"/>
                <w:b/>
                <w:sz w:val="24"/>
              </w:rPr>
              <w:t>Altre posizioni</w:t>
            </w:r>
          </w:p>
          <w:p w14:paraId="71B77EE9" w14:textId="278AF798" w:rsidR="00B731E6" w:rsidRPr="00844DC7" w:rsidRDefault="00AF5657" w:rsidP="00B731E6">
            <w:pPr>
              <w:spacing w:after="120"/>
              <w:jc w:val="both"/>
              <w:rPr>
                <w:rFonts w:ascii="Times New Roman" w:eastAsiaTheme="minorHAnsi" w:hAnsi="Times New Roman" w:cs="Times New Roman"/>
                <w:sz w:val="24"/>
              </w:rPr>
            </w:pPr>
            <w:r w:rsidRPr="00844DC7">
              <w:rPr>
                <w:rFonts w:ascii="Times New Roman" w:hAnsi="Times New Roman"/>
                <w:sz w:val="24"/>
              </w:rPr>
              <w:t>La classe di esposizioni si riferisce a:</w:t>
            </w:r>
          </w:p>
          <w:p w14:paraId="278C94D3" w14:textId="4A18E7D2" w:rsidR="00B731E6" w:rsidRPr="00844DC7" w:rsidRDefault="00B731E6" w:rsidP="00B731E6">
            <w:pPr>
              <w:spacing w:after="120"/>
              <w:jc w:val="both"/>
              <w:rPr>
                <w:rFonts w:ascii="Times New Roman" w:eastAsiaTheme="minorHAnsi" w:hAnsi="Times New Roman" w:cs="Times New Roman"/>
                <w:sz w:val="24"/>
              </w:rPr>
            </w:pPr>
            <w:r w:rsidRPr="00844DC7">
              <w:rPr>
                <w:rFonts w:ascii="Times New Roman" w:hAnsi="Times New Roman"/>
                <w:sz w:val="24"/>
              </w:rPr>
              <w:t>- le attività soggette a uno specifico fattore di ponderazione del rischio stabilito all</w:t>
            </w:r>
            <w:r w:rsidR="00F16DA0" w:rsidRPr="00844DC7">
              <w:rPr>
                <w:rFonts w:ascii="Times New Roman" w:hAnsi="Times New Roman"/>
                <w:sz w:val="24"/>
              </w:rPr>
              <w:t>'</w:t>
            </w:r>
            <w:r w:rsidRPr="00844DC7">
              <w:rPr>
                <w:rFonts w:ascii="Times New Roman" w:hAnsi="Times New Roman"/>
                <w:sz w:val="24"/>
              </w:rPr>
              <w:t xml:space="preserve">articolo 134 della parte tre, titolo II, capo 4, del </w:t>
            </w:r>
            <w:r w:rsidRPr="00844DC7">
              <w:rPr>
                <w:rFonts w:ascii="Times New Roman" w:hAnsi="Times New Roman"/>
                <w:color w:val="000000" w:themeColor="text1"/>
                <w:sz w:val="24"/>
              </w:rPr>
              <w:t>regolamento (UE) n. 575/2013</w:t>
            </w:r>
            <w:r w:rsidRPr="00844DC7">
              <w:rPr>
                <w:rFonts w:ascii="Times New Roman" w:hAnsi="Times New Roman"/>
                <w:sz w:val="24"/>
              </w:rPr>
              <w:t>;</w:t>
            </w:r>
          </w:p>
          <w:p w14:paraId="573636F2" w14:textId="7D3872F7" w:rsidR="00B731E6" w:rsidRPr="00844DC7" w:rsidRDefault="0B701945" w:rsidP="5A0D947F">
            <w:pPr>
              <w:spacing w:after="120"/>
              <w:jc w:val="both"/>
              <w:rPr>
                <w:rFonts w:ascii="Times New Roman" w:hAnsi="Times New Roman" w:cs="Times New Roman"/>
                <w:sz w:val="24"/>
              </w:rPr>
            </w:pPr>
            <w:r w:rsidRPr="00844DC7">
              <w:rPr>
                <w:rFonts w:ascii="Times New Roman" w:hAnsi="Times New Roman"/>
                <w:sz w:val="24"/>
              </w:rPr>
              <w:t>- le attività non dedotte in applicazione dell</w:t>
            </w:r>
            <w:r w:rsidR="00F16DA0" w:rsidRPr="00844DC7">
              <w:rPr>
                <w:rFonts w:ascii="Times New Roman" w:hAnsi="Times New Roman"/>
                <w:sz w:val="24"/>
              </w:rPr>
              <w:t>'</w:t>
            </w:r>
            <w:r w:rsidRPr="00844DC7">
              <w:rPr>
                <w:rFonts w:ascii="Times New Roman" w:hAnsi="Times New Roman"/>
                <w:sz w:val="24"/>
              </w:rPr>
              <w:t xml:space="preserve">articolo 39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(pagamenti in eccesso di imposte, riporti di perdite fiscali e attività fiscali differite che non dipendono dalla redditività futura), dell</w:t>
            </w:r>
            <w:r w:rsidR="00F16DA0" w:rsidRPr="00844DC7">
              <w:rPr>
                <w:rFonts w:ascii="Times New Roman" w:hAnsi="Times New Roman"/>
                <w:sz w:val="24"/>
              </w:rPr>
              <w:t>'</w:t>
            </w:r>
            <w:r w:rsidRPr="00844DC7">
              <w:rPr>
                <w:rFonts w:ascii="Times New Roman" w:hAnsi="Times New Roman"/>
                <w:sz w:val="24"/>
              </w:rPr>
              <w:t xml:space="preserve">articolo 41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(attività dei fondi pensione a prestazioni definite), degli articoli</w:t>
            </w:r>
            <w:r w:rsidR="000F63A1" w:rsidRPr="00844DC7">
              <w:rPr>
                <w:rFonts w:ascii="Times New Roman" w:hAnsi="Times New Roman"/>
                <w:sz w:val="24"/>
              </w:rPr>
              <w:t xml:space="preserve"> </w:t>
            </w:r>
            <w:r w:rsidRPr="00844DC7">
              <w:rPr>
                <w:rFonts w:ascii="Times New Roman" w:hAnsi="Times New Roman"/>
                <w:sz w:val="24"/>
              </w:rPr>
              <w:t xml:space="preserve">46 e 469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(investimenti non significativi nel capitale CET1 di soggetti del settore finanziario), degli articoli 49 e 471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(partecipazioni in imprese di assicurazione indipendentemente dal fatto che esse siano sottoposte a vigilanza a norma della direttiva sui conglomerati), degli articoli 60 e 475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(investimenti non significativi e significativi, detenuti direttamente, indirettamente e sinteticamente, in capitale aggiuntivo AT1 di soggetti del settore finanziario) e degli articoli 70 e 477 del </w:t>
            </w:r>
            <w:r w:rsidRPr="00844DC7">
              <w:rPr>
                <w:rFonts w:ascii="Times New Roman" w:hAnsi="Times New Roman"/>
                <w:color w:val="000000" w:themeColor="text1"/>
                <w:sz w:val="24"/>
              </w:rPr>
              <w:t>regolamento (UE) n. 575/2013</w:t>
            </w:r>
            <w:r w:rsidRPr="00844DC7">
              <w:rPr>
                <w:rFonts w:ascii="Times New Roman" w:hAnsi="Times New Roman"/>
                <w:sz w:val="24"/>
              </w:rPr>
              <w:t xml:space="preserve"> (posizioni non significative e significative, detenute direttamente, indirettamente e sinteticamente, di capitale di classe 2 (T2) emesso da un soggetto del settore finanziario), non assegnate ad altre classi di esposizioni né a partecipazioni qualificate al di fuori del settore finanziario se non hanno ricevuto un fattore di ponderazione del rischio pari al 1250 % (in applicazione dell</w:t>
            </w:r>
            <w:r w:rsidR="00F16DA0" w:rsidRPr="00844DC7">
              <w:rPr>
                <w:rFonts w:ascii="Times New Roman" w:hAnsi="Times New Roman"/>
                <w:sz w:val="24"/>
              </w:rPr>
              <w:t>'</w:t>
            </w:r>
            <w:r w:rsidRPr="00844DC7">
              <w:rPr>
                <w:rFonts w:ascii="Times New Roman" w:hAnsi="Times New Roman"/>
                <w:sz w:val="24"/>
              </w:rPr>
              <w:t xml:space="preserve">articolo 36, lettera k), della parte due, titolo I, capo 1, del </w:t>
            </w:r>
            <w:r w:rsidRPr="00844DC7">
              <w:rPr>
                <w:rFonts w:ascii="Times New Roman" w:hAnsi="Times New Roman"/>
                <w:color w:val="000000" w:themeColor="text1"/>
                <w:sz w:val="24"/>
              </w:rPr>
              <w:t>regolamento (UE) n. 575/2013</w:t>
            </w:r>
            <w:r w:rsidRPr="00844DC7">
              <w:rPr>
                <w:rFonts w:ascii="Times New Roman" w:hAnsi="Times New Roman"/>
                <w:sz w:val="24"/>
              </w:rPr>
              <w:t>).</w:t>
            </w:r>
          </w:p>
        </w:tc>
      </w:tr>
      <w:tr w:rsidR="006D3144" w:rsidRPr="00844DC7" w14:paraId="5BD2F47E" w14:textId="77777777" w:rsidTr="00FB64CF">
        <w:trPr>
          <w:trHeight w:val="643"/>
        </w:trPr>
        <w:tc>
          <w:tcPr>
            <w:tcW w:w="1413" w:type="dxa"/>
            <w:shd w:val="clear" w:color="auto" w:fill="D9D9D9" w:themeFill="background1" w:themeFillShade="D9"/>
          </w:tcPr>
          <w:p w14:paraId="264F36FD" w14:textId="11D07211" w:rsidR="006D3144" w:rsidRPr="00844DC7" w:rsidRDefault="006D3144">
            <w:pPr>
              <w:spacing w:after="120"/>
              <w:jc w:val="both"/>
              <w:rPr>
                <w:rFonts w:ascii="Times New Roman" w:eastAsia="Times New Roman" w:hAnsi="Times New Roman" w:cs="Times New Roman"/>
                <w:sz w:val="24"/>
              </w:rPr>
            </w:pPr>
            <w:r w:rsidRPr="00844DC7">
              <w:rPr>
                <w:rFonts w:ascii="Times New Roman" w:hAnsi="Times New Roman"/>
                <w:sz w:val="24"/>
              </w:rPr>
              <w:t>11</w:t>
            </w:r>
          </w:p>
        </w:tc>
        <w:tc>
          <w:tcPr>
            <w:tcW w:w="7654" w:type="dxa"/>
            <w:shd w:val="clear" w:color="auto" w:fill="D9D9D9" w:themeFill="background1" w:themeFillShade="D9"/>
          </w:tcPr>
          <w:p w14:paraId="47FD4F2B" w14:textId="1FCF9627" w:rsidR="006D3144" w:rsidRPr="00844DC7" w:rsidRDefault="006D3144" w:rsidP="00B731E6">
            <w:pPr>
              <w:spacing w:after="120"/>
              <w:jc w:val="both"/>
              <w:rPr>
                <w:rFonts w:ascii="Times New Roman" w:eastAsiaTheme="minorHAnsi" w:hAnsi="Times New Roman" w:cs="Times New Roman"/>
                <w:sz w:val="24"/>
              </w:rPr>
            </w:pPr>
            <w:r w:rsidRPr="00844DC7">
              <w:rPr>
                <w:rFonts w:ascii="Times New Roman" w:hAnsi="Times New Roman"/>
                <w:sz w:val="24"/>
              </w:rPr>
              <w:t>Non applicabile</w:t>
            </w:r>
          </w:p>
        </w:tc>
      </w:tr>
      <w:tr w:rsidR="00B731E6" w:rsidRPr="00844DC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844DC7" w:rsidRDefault="00B731E6" w:rsidP="00B731E6">
            <w:pPr>
              <w:autoSpaceDE w:val="0"/>
              <w:autoSpaceDN w:val="0"/>
              <w:adjustRightInd w:val="0"/>
              <w:spacing w:after="120"/>
              <w:jc w:val="both"/>
              <w:rPr>
                <w:rFonts w:ascii="Times New Roman" w:eastAsia="Times New Roman" w:hAnsi="Times New Roman" w:cs="Times New Roman"/>
                <w:sz w:val="24"/>
              </w:rPr>
            </w:pPr>
            <w:r w:rsidRPr="00844DC7">
              <w:rPr>
                <w:rFonts w:ascii="Times New Roman" w:hAnsi="Times New Roman"/>
                <w:sz w:val="24"/>
              </w:rPr>
              <w:t>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844DC7" w:rsidRDefault="00B731E6" w:rsidP="00B731E6">
            <w:pPr>
              <w:spacing w:after="120"/>
              <w:jc w:val="both"/>
              <w:rPr>
                <w:rFonts w:ascii="Times New Roman" w:hAnsi="Times New Roman" w:cs="Times New Roman"/>
                <w:b/>
                <w:bCs/>
                <w:sz w:val="24"/>
              </w:rPr>
            </w:pPr>
            <w:r w:rsidRPr="00844DC7">
              <w:rPr>
                <w:rFonts w:ascii="Times New Roman" w:hAnsi="Times New Roman"/>
                <w:b/>
                <w:sz w:val="24"/>
              </w:rPr>
              <w:t>Totale</w:t>
            </w:r>
          </w:p>
          <w:p w14:paraId="463C4A08" w14:textId="7392B85F" w:rsidR="00B731E6" w:rsidRPr="00844DC7" w:rsidRDefault="00AF5657" w:rsidP="00B731E6">
            <w:pPr>
              <w:spacing w:after="120"/>
              <w:jc w:val="both"/>
              <w:rPr>
                <w:rFonts w:ascii="Times New Roman" w:hAnsi="Times New Roman" w:cs="Times New Roman"/>
                <w:sz w:val="24"/>
              </w:rPr>
            </w:pPr>
            <w:r w:rsidRPr="00844DC7">
              <w:rPr>
                <w:rFonts w:ascii="Times New Roman" w:hAnsi="Times New Roman"/>
                <w:sz w:val="24"/>
              </w:rPr>
              <w:t xml:space="preserve">Somma delle righe 1, 2, 3, EU </w:t>
            </w:r>
            <w:proofErr w:type="gramStart"/>
            <w:r w:rsidRPr="00844DC7">
              <w:rPr>
                <w:rFonts w:ascii="Times New Roman" w:hAnsi="Times New Roman"/>
                <w:sz w:val="24"/>
              </w:rPr>
              <w:t>3a</w:t>
            </w:r>
            <w:proofErr w:type="gramEnd"/>
            <w:r w:rsidRPr="00844DC7">
              <w:rPr>
                <w:rFonts w:ascii="Times New Roman" w:hAnsi="Times New Roman"/>
                <w:sz w:val="24"/>
              </w:rPr>
              <w:t>, 4, 5, 6, 7, 8, 9, 10, EU 10a, EU 10b, EU 10c sopra citate.</w:t>
            </w:r>
          </w:p>
        </w:tc>
      </w:tr>
    </w:tbl>
    <w:p w14:paraId="63408E1A" w14:textId="77777777" w:rsidR="008B70BD" w:rsidRPr="00844DC7" w:rsidRDefault="008B70BD" w:rsidP="0005278F">
      <w:pPr>
        <w:spacing w:after="120"/>
        <w:rPr>
          <w:rFonts w:ascii="Times New Roman" w:hAnsi="Times New Roman" w:cs="Times New Roman"/>
          <w:sz w:val="24"/>
        </w:rPr>
      </w:pPr>
    </w:p>
    <w:sectPr w:rsidR="008B70BD" w:rsidRPr="00844DC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875C17" w:rsidRDefault="00166E0C" w:rsidP="00166E0C">
      <w:pPr>
        <w:pStyle w:val="FootnoteText"/>
        <w:rPr>
          <w:rFonts w:cstheme="minorHAnsi"/>
        </w:rPr>
      </w:pPr>
      <w:r w:rsidRPr="00875C17">
        <w:rPr>
          <w:rStyle w:val="FootnoteReference"/>
          <w:rFonts w:cstheme="minorHAnsi"/>
        </w:rPr>
        <w:footnoteRef/>
      </w:r>
      <w:r w:rsidRPr="00875C17">
        <w:t xml:space="preserve"> </w:t>
      </w:r>
      <w:r w:rsidRPr="00875C17">
        <w:tab/>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875C17">
        <w:rPr>
          <w:color w:val="444444"/>
        </w:rPr>
        <w:t>(</w:t>
      </w:r>
      <w:hyperlink r:id="rId1" w:history="1">
        <w:r w:rsidRPr="00875C17">
          <w:rPr>
            <w:rStyle w:val="Hyperlink"/>
            <w:color w:val="800080"/>
          </w:rPr>
          <w:t>GU L 176 del 27.6.2013, pag. 1</w:t>
        </w:r>
      </w:hyperlink>
      <w:r w:rsidRPr="00875C17">
        <w:rPr>
          <w:color w:val="444444"/>
        </w:rPr>
        <w:t>)</w:t>
      </w:r>
      <w:r w:rsidRPr="00875C17">
        <w:t>;</w:t>
      </w:r>
      <w:r w:rsidRPr="00875C17">
        <w:rPr>
          <w:color w:val="800080"/>
          <w:u w:val="single"/>
        </w:rPr>
        <w:t xml:space="preserve"> </w:t>
      </w:r>
      <w:hyperlink r:id="rId2" w:history="1">
        <w:r w:rsidRPr="00875C17">
          <w:rPr>
            <w:rStyle w:val="Hyperlink"/>
          </w:rPr>
          <w:t>regolamento - UE - 2024/1623 - IT - EUR-Lex (europa.eu)</w:t>
        </w:r>
      </w:hyperlink>
      <w:r w:rsidRPr="00875C17">
        <w:rPr>
          <w:color w:val="444444"/>
        </w:rPr>
        <w:t>)</w:t>
      </w:r>
      <w:r w:rsidRPr="00875C17">
        <w:t>.</w:t>
      </w:r>
    </w:p>
  </w:footnote>
  <w:footnote w:id="3">
    <w:p w14:paraId="137E39C2" w14:textId="77777777" w:rsidR="0005278F" w:rsidRPr="00222AAB" w:rsidRDefault="0005278F" w:rsidP="0005278F">
      <w:pPr>
        <w:pStyle w:val="FootnoteText"/>
        <w:rPr>
          <w:rFonts w:cstheme="minorHAnsi"/>
        </w:rPr>
      </w:pPr>
      <w:r w:rsidRPr="00875C17">
        <w:rPr>
          <w:rStyle w:val="FootnoteReference"/>
          <w:rFonts w:cstheme="minorHAnsi"/>
        </w:rPr>
        <w:footnoteRef/>
      </w:r>
      <w:r w:rsidRPr="00875C17">
        <w:t xml:space="preserve"> </w:t>
      </w:r>
      <w:r w:rsidRPr="00875C17">
        <w:tab/>
        <w:t>Regolamento delegato (UE) n. 183/2014 della Commissione, del 20 dicembre 2013, che integra il regolamento (UE) n. 575/2013 del Parlamento europeo e del Consiglio relativo ai requisiti prudenziali per gli enti creditizi e le imprese di investimento, per quanto riguarda le norme tecniche di regolamentazione che specificano le modalità di calcolo delle rettifiche di valore su crediti specifiche e generiche (GU L 57 del 27.2.2014, pag.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0F63A1"/>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467EB"/>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44DC7"/>
    <w:rsid w:val="00861491"/>
    <w:rsid w:val="008626C2"/>
    <w:rsid w:val="00865C18"/>
    <w:rsid w:val="008673E6"/>
    <w:rsid w:val="00874367"/>
    <w:rsid w:val="00875C1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81F97"/>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6DA0"/>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05278F"/>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40BFE80E-9EC5-4C67-B310-E611E81C271D}"/>
</file>

<file path=customXml/itemProps3.xml><?xml version="1.0" encoding="utf-8"?>
<ds:datastoreItem xmlns:ds="http://schemas.openxmlformats.org/officeDocument/2006/customXml" ds:itemID="{949D4A5A-2092-4798-B5E7-313A2B213D6D}"/>
</file>

<file path=customXml/itemProps4.xml><?xml version="1.0" encoding="utf-8"?>
<ds:datastoreItem xmlns:ds="http://schemas.openxmlformats.org/officeDocument/2006/customXml" ds:itemID="{19B4CC43-6D27-42C5-85E3-29D9E904480A}"/>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3575</Words>
  <Characters>20235</Characters>
  <Application>Microsoft Office Word</Application>
  <DocSecurity>0</DocSecurity>
  <Lines>493</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2024-10-18T07:43:00Z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